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一、唐山市丰南区图书馆本级收支预算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一、唐山市丰南区图书馆本级收支预算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677.51</w:t>
            </w:r>
          </w:p>
        </w:tc>
        <w:tc>
          <w:tcPr>
            <w:tcW w:w="4535" w:type="dxa"/>
            <w:vAlign w:val="center"/>
          </w:tcPr>
          <w:p>
            <w:pPr>
              <w:pStyle w:val="单元格样式2"/>
            </w:pPr>
            <w:r>
              <w:t xml:space="preserve">一、一般公共服务支出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r>
              <w:t xml:space="preserve">677.51</w:t>
            </w: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677.51</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677.51</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677.51</w:t>
            </w:r>
          </w:p>
        </w:tc>
        <w:tc>
          <w:tcPr>
            <w:tcW w:w="4535" w:type="dxa"/>
            <w:vAlign w:val="center"/>
          </w:tcPr>
          <w:p>
            <w:pPr>
              <w:pStyle w:val="单元格样式6"/>
            </w:pPr>
            <w:r>
              <w:t xml:space="preserve">支出总计</w:t>
            </w:r>
          </w:p>
        </w:tc>
        <w:tc>
          <w:tcPr>
            <w:tcW w:w="2126" w:type="dxa"/>
            <w:vAlign w:val="center"/>
          </w:tcPr>
          <w:p>
            <w:pPr>
              <w:pStyle w:val="单元格样式7"/>
            </w:pPr>
            <w:r>
              <w:t xml:space="preserve">677.51</w:t>
            </w:r>
          </w:p>
        </w:tc>
      </w:tr>
    </w:tbl>
    <w:p>
      <w:pPr>
        <w:sectPr>
          <w:footerReference w:type="even" r:id="rId25"/>
          <w:footerReference w:type="default" r:id="rId26"/>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677.51</w:t>
            </w:r>
          </w:p>
        </w:tc>
        <w:tc>
          <w:tcPr>
            <w:tcW w:w="1134" w:type="dxa"/>
            <w:vAlign w:val="center"/>
          </w:tcPr>
          <w:p>
            <w:pPr>
              <w:pStyle w:val="单元格样式7"/>
            </w:pPr>
            <w:r>
              <w:t xml:space="preserve">677.51</w:t>
            </w:r>
          </w:p>
        </w:tc>
        <w:tc>
          <w:tcPr>
            <w:tcW w:w="1134" w:type="dxa"/>
            <w:vAlign w:val="center"/>
          </w:tcPr>
          <w:p>
            <w:pPr>
              <w:pStyle w:val="单元格样式7"/>
            </w:pPr>
            <w:r>
              <w:t xml:space="preserve">677.51</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207</w:t>
            </w:r>
          </w:p>
        </w:tc>
        <w:tc>
          <w:tcPr>
            <w:tcW w:w="1559" w:type="dxa"/>
            <w:vAlign w:val="center"/>
          </w:tcPr>
          <w:p>
            <w:pPr>
              <w:pStyle w:val="单元格样式2"/>
            </w:pPr>
            <w:r>
              <w:t xml:space="preserve">文化旅游体育与传媒支出</w:t>
            </w:r>
          </w:p>
        </w:tc>
        <w:tc>
          <w:tcPr>
            <w:tcW w:w="1134" w:type="dxa"/>
            <w:vAlign w:val="center"/>
          </w:tcPr>
          <w:p>
            <w:pPr>
              <w:pStyle w:val="单元格样式4"/>
            </w:pPr>
            <w:r>
              <w:t xml:space="preserve">677.51</w:t>
            </w:r>
          </w:p>
        </w:tc>
        <w:tc>
          <w:tcPr>
            <w:tcW w:w="1134" w:type="dxa"/>
            <w:vAlign w:val="center"/>
          </w:tcPr>
          <w:p>
            <w:pPr>
              <w:pStyle w:val="单元格样式4"/>
            </w:pPr>
            <w:r>
              <w:t xml:space="preserve">677.51</w:t>
            </w:r>
          </w:p>
        </w:tc>
        <w:tc>
          <w:tcPr>
            <w:tcW w:w="1134" w:type="dxa"/>
            <w:vAlign w:val="center"/>
          </w:tcPr>
          <w:p>
            <w:pPr>
              <w:pStyle w:val="单元格样式4"/>
            </w:pPr>
            <w:r>
              <w:t xml:space="preserve">677.51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20701</w:t>
            </w:r>
          </w:p>
        </w:tc>
        <w:tc>
          <w:tcPr>
            <w:tcW w:w="1559" w:type="dxa"/>
            <w:vAlign w:val="center"/>
          </w:tcPr>
          <w:p>
            <w:pPr>
              <w:pStyle w:val="单元格样式2"/>
            </w:pPr>
            <w:r>
              <w:t xml:space="preserve">文化和旅游</w:t>
            </w:r>
          </w:p>
        </w:tc>
        <w:tc>
          <w:tcPr>
            <w:tcW w:w="1134" w:type="dxa"/>
            <w:vAlign w:val="center"/>
          </w:tcPr>
          <w:p>
            <w:pPr>
              <w:pStyle w:val="单元格样式4"/>
            </w:pPr>
            <w:r>
              <w:t xml:space="preserve">677.51</w:t>
            </w:r>
          </w:p>
        </w:tc>
        <w:tc>
          <w:tcPr>
            <w:tcW w:w="1134" w:type="dxa"/>
            <w:vAlign w:val="center"/>
          </w:tcPr>
          <w:p>
            <w:pPr>
              <w:pStyle w:val="单元格样式4"/>
            </w:pPr>
            <w:r>
              <w:t xml:space="preserve">677.51</w:t>
            </w:r>
          </w:p>
        </w:tc>
        <w:tc>
          <w:tcPr>
            <w:tcW w:w="1134" w:type="dxa"/>
            <w:vAlign w:val="center"/>
          </w:tcPr>
          <w:p>
            <w:pPr>
              <w:pStyle w:val="单元格样式4"/>
            </w:pPr>
            <w:r>
              <w:t xml:space="preserve">677.51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2070104</w:t>
            </w:r>
          </w:p>
        </w:tc>
        <w:tc>
          <w:tcPr>
            <w:tcW w:w="1559" w:type="dxa"/>
            <w:vAlign w:val="center"/>
          </w:tcPr>
          <w:p>
            <w:pPr>
              <w:pStyle w:val="单元格样式2"/>
            </w:pPr>
            <w:r>
              <w:t xml:space="preserve">图书馆</w:t>
            </w:r>
          </w:p>
        </w:tc>
        <w:tc>
          <w:tcPr>
            <w:tcW w:w="1134" w:type="dxa"/>
            <w:vAlign w:val="center"/>
          </w:tcPr>
          <w:p>
            <w:pPr>
              <w:pStyle w:val="单元格样式4"/>
            </w:pPr>
            <w:r>
              <w:t xml:space="preserve">654.71</w:t>
            </w:r>
          </w:p>
        </w:tc>
        <w:tc>
          <w:tcPr>
            <w:tcW w:w="1134" w:type="dxa"/>
            <w:vAlign w:val="center"/>
          </w:tcPr>
          <w:p>
            <w:pPr>
              <w:pStyle w:val="单元格样式4"/>
            </w:pPr>
            <w:r>
              <w:t xml:space="preserve">654.71</w:t>
            </w:r>
          </w:p>
        </w:tc>
        <w:tc>
          <w:tcPr>
            <w:tcW w:w="1134" w:type="dxa"/>
            <w:vAlign w:val="center"/>
          </w:tcPr>
          <w:p>
            <w:pPr>
              <w:pStyle w:val="单元格样式4"/>
            </w:pPr>
            <w:r>
              <w:t xml:space="preserve">654.71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2070199</w:t>
            </w:r>
          </w:p>
        </w:tc>
        <w:tc>
          <w:tcPr>
            <w:tcW w:w="1559" w:type="dxa"/>
            <w:vAlign w:val="center"/>
          </w:tcPr>
          <w:p>
            <w:pPr>
              <w:pStyle w:val="单元格样式2"/>
            </w:pPr>
            <w:r>
              <w:t xml:space="preserve">其他文化和旅游支出</w:t>
            </w:r>
          </w:p>
        </w:tc>
        <w:tc>
          <w:tcPr>
            <w:tcW w:w="1134" w:type="dxa"/>
            <w:vAlign w:val="center"/>
          </w:tcPr>
          <w:p>
            <w:pPr>
              <w:pStyle w:val="单元格样式4"/>
            </w:pPr>
            <w:r>
              <w:t xml:space="preserve">22.80</w:t>
            </w:r>
          </w:p>
        </w:tc>
        <w:tc>
          <w:tcPr>
            <w:tcW w:w="1134" w:type="dxa"/>
            <w:vAlign w:val="center"/>
          </w:tcPr>
          <w:p>
            <w:pPr>
              <w:pStyle w:val="单元格样式4"/>
            </w:pPr>
            <w:r>
              <w:t xml:space="preserve">22.80</w:t>
            </w:r>
          </w:p>
        </w:tc>
        <w:tc>
          <w:tcPr>
            <w:tcW w:w="1134" w:type="dxa"/>
            <w:vAlign w:val="center"/>
          </w:tcPr>
          <w:p>
            <w:pPr>
              <w:pStyle w:val="单元格样式4"/>
            </w:pPr>
            <w:r>
              <w:t xml:space="preserve">22.80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677.51</w:t>
            </w:r>
          </w:p>
        </w:tc>
        <w:tc>
          <w:tcPr>
            <w:tcW w:w="1361" w:type="dxa"/>
            <w:vAlign w:val="center"/>
          </w:tcPr>
          <w:p>
            <w:pPr>
              <w:pStyle w:val="单元格样式7"/>
            </w:pPr>
            <w:r>
              <w:t xml:space="preserve">412.39</w:t>
            </w:r>
          </w:p>
        </w:tc>
        <w:tc>
          <w:tcPr>
            <w:tcW w:w="1361" w:type="dxa"/>
            <w:vAlign w:val="center"/>
          </w:tcPr>
          <w:p>
            <w:pPr>
              <w:pStyle w:val="单元格样式7"/>
            </w:pPr>
            <w:r>
              <w:t xml:space="preserve">265.12</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207</w:t>
            </w:r>
          </w:p>
        </w:tc>
        <w:tc>
          <w:tcPr>
            <w:tcW w:w="4535" w:type="dxa"/>
            <w:vAlign w:val="center"/>
          </w:tcPr>
          <w:p>
            <w:pPr>
              <w:pStyle w:val="单元格样式2"/>
            </w:pPr>
            <w:r>
              <w:t xml:space="preserve">文化旅游体育与传媒支出</w:t>
            </w:r>
          </w:p>
        </w:tc>
        <w:tc>
          <w:tcPr>
            <w:tcW w:w="1361" w:type="dxa"/>
            <w:vAlign w:val="center"/>
          </w:tcPr>
          <w:p>
            <w:pPr>
              <w:pStyle w:val="单元格样式4"/>
            </w:pPr>
            <w:r>
              <w:t xml:space="preserve">677.51</w:t>
            </w:r>
          </w:p>
        </w:tc>
        <w:tc>
          <w:tcPr>
            <w:tcW w:w="1361" w:type="dxa"/>
            <w:vAlign w:val="center"/>
          </w:tcPr>
          <w:p>
            <w:pPr>
              <w:pStyle w:val="单元格样式4"/>
            </w:pPr>
            <w:r>
              <w:t xml:space="preserve">412.39</w:t>
            </w:r>
          </w:p>
        </w:tc>
        <w:tc>
          <w:tcPr>
            <w:tcW w:w="1361" w:type="dxa"/>
            <w:vAlign w:val="center"/>
          </w:tcPr>
          <w:p>
            <w:pPr>
              <w:pStyle w:val="单元格样式4"/>
            </w:pPr>
            <w:r>
              <w:t xml:space="preserve">265.12</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20701</w:t>
            </w:r>
          </w:p>
        </w:tc>
        <w:tc>
          <w:tcPr>
            <w:tcW w:w="4535" w:type="dxa"/>
            <w:vAlign w:val="center"/>
          </w:tcPr>
          <w:p>
            <w:pPr>
              <w:pStyle w:val="单元格样式2"/>
            </w:pPr>
            <w:r>
              <w:t xml:space="preserve">文化和旅游</w:t>
            </w:r>
          </w:p>
        </w:tc>
        <w:tc>
          <w:tcPr>
            <w:tcW w:w="1361" w:type="dxa"/>
            <w:vAlign w:val="center"/>
          </w:tcPr>
          <w:p>
            <w:pPr>
              <w:pStyle w:val="单元格样式4"/>
            </w:pPr>
            <w:r>
              <w:t xml:space="preserve">677.51</w:t>
            </w:r>
          </w:p>
        </w:tc>
        <w:tc>
          <w:tcPr>
            <w:tcW w:w="1361" w:type="dxa"/>
            <w:vAlign w:val="center"/>
          </w:tcPr>
          <w:p>
            <w:pPr>
              <w:pStyle w:val="单元格样式4"/>
            </w:pPr>
            <w:r>
              <w:t xml:space="preserve">412.39</w:t>
            </w:r>
          </w:p>
        </w:tc>
        <w:tc>
          <w:tcPr>
            <w:tcW w:w="1361" w:type="dxa"/>
            <w:vAlign w:val="center"/>
          </w:tcPr>
          <w:p>
            <w:pPr>
              <w:pStyle w:val="单元格样式4"/>
            </w:pPr>
            <w:r>
              <w:t xml:space="preserve">265.12</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2070104</w:t>
            </w:r>
          </w:p>
        </w:tc>
        <w:tc>
          <w:tcPr>
            <w:tcW w:w="4535" w:type="dxa"/>
            <w:vAlign w:val="center"/>
          </w:tcPr>
          <w:p>
            <w:pPr>
              <w:pStyle w:val="单元格样式2"/>
            </w:pPr>
            <w:r>
              <w:t xml:space="preserve">图书馆</w:t>
            </w:r>
          </w:p>
        </w:tc>
        <w:tc>
          <w:tcPr>
            <w:tcW w:w="1361" w:type="dxa"/>
            <w:vAlign w:val="center"/>
          </w:tcPr>
          <w:p>
            <w:pPr>
              <w:pStyle w:val="单元格样式4"/>
            </w:pPr>
            <w:r>
              <w:t xml:space="preserve">654.71</w:t>
            </w:r>
          </w:p>
        </w:tc>
        <w:tc>
          <w:tcPr>
            <w:tcW w:w="1361" w:type="dxa"/>
            <w:vAlign w:val="center"/>
          </w:tcPr>
          <w:p>
            <w:pPr>
              <w:pStyle w:val="单元格样式4"/>
            </w:pPr>
            <w:r>
              <w:t xml:space="preserve">412.39</w:t>
            </w:r>
          </w:p>
        </w:tc>
        <w:tc>
          <w:tcPr>
            <w:tcW w:w="1361" w:type="dxa"/>
            <w:vAlign w:val="center"/>
          </w:tcPr>
          <w:p>
            <w:pPr>
              <w:pStyle w:val="单元格样式4"/>
            </w:pPr>
            <w:r>
              <w:t xml:space="preserve">242.32</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2070199</w:t>
            </w:r>
          </w:p>
        </w:tc>
        <w:tc>
          <w:tcPr>
            <w:tcW w:w="4535" w:type="dxa"/>
            <w:vAlign w:val="center"/>
          </w:tcPr>
          <w:p>
            <w:pPr>
              <w:pStyle w:val="单元格样式2"/>
            </w:pPr>
            <w:r>
              <w:t xml:space="preserve">其他文化和旅游支出</w:t>
            </w:r>
          </w:p>
        </w:tc>
        <w:tc>
          <w:tcPr>
            <w:tcW w:w="1361" w:type="dxa"/>
            <w:vAlign w:val="center"/>
          </w:tcPr>
          <w:p>
            <w:pPr>
              <w:pStyle w:val="单元格样式4"/>
            </w:pPr>
            <w:r>
              <w:t xml:space="preserve">22.80</w:t>
            </w:r>
          </w:p>
        </w:tc>
        <w:tc>
          <w:tcPr>
            <w:tcW w:w="1361" w:type="dxa"/>
            <w:vAlign w:val="center"/>
          </w:tcPr>
          <w:p>
            <w:pPr>
              <w:pStyle w:val="单元格样式4"/>
            </w:pPr>
          </w:p>
        </w:tc>
        <w:tc>
          <w:tcPr>
            <w:tcW w:w="1361" w:type="dxa"/>
            <w:vAlign w:val="center"/>
          </w:tcPr>
          <w:p>
            <w:pPr>
              <w:pStyle w:val="单元格样式4"/>
            </w:pPr>
            <w:r>
              <w:t xml:space="preserve">22.80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677.51</w:t>
            </w:r>
          </w:p>
        </w:tc>
        <w:tc>
          <w:tcPr>
            <w:tcW w:w="3402" w:type="dxa"/>
            <w:vAlign w:val="center"/>
          </w:tcPr>
          <w:p>
            <w:pPr>
              <w:pStyle w:val="单元格样式2"/>
            </w:pPr>
            <w:r>
              <w:t xml:space="preserve">一、一般公共服务支出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r>
              <w:t xml:space="preserve">677.51</w:t>
            </w:r>
          </w:p>
        </w:tc>
        <w:tc>
          <w:tcPr>
            <w:tcW w:w="1474" w:type="dxa"/>
            <w:vAlign w:val="center"/>
          </w:tcPr>
          <w:p>
            <w:pPr>
              <w:pStyle w:val="单元格样式4"/>
            </w:pPr>
            <w:r>
              <w:t xml:space="preserve">677.51</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677.51</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677.51</w:t>
            </w:r>
          </w:p>
        </w:tc>
        <w:tc>
          <w:tcPr>
            <w:tcW w:w="1474" w:type="dxa"/>
            <w:vAlign w:val="center"/>
          </w:tcPr>
          <w:p>
            <w:pPr>
              <w:pStyle w:val="单元格样式7"/>
            </w:pPr>
            <w:r>
              <w:t xml:space="preserve">677.51</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677.51</w:t>
            </w:r>
          </w:p>
        </w:tc>
        <w:tc>
          <w:tcPr>
            <w:tcW w:w="3402" w:type="dxa"/>
            <w:vAlign w:val="center"/>
          </w:tcPr>
          <w:p>
            <w:pPr>
              <w:pStyle w:val="单元格样式6"/>
            </w:pPr>
            <w:r>
              <w:t xml:space="preserve">支出总计</w:t>
            </w:r>
          </w:p>
        </w:tc>
        <w:tc>
          <w:tcPr>
            <w:tcW w:w="1474" w:type="dxa"/>
            <w:vAlign w:val="center"/>
          </w:tcPr>
          <w:p>
            <w:pPr>
              <w:pStyle w:val="单元格样式7"/>
            </w:pPr>
            <w:r>
              <w:t xml:space="preserve">677.51</w:t>
            </w:r>
          </w:p>
        </w:tc>
        <w:tc>
          <w:tcPr>
            <w:tcW w:w="1474" w:type="dxa"/>
            <w:vAlign w:val="center"/>
          </w:tcPr>
          <w:p>
            <w:pPr>
              <w:pStyle w:val="单元格样式7"/>
            </w:pPr>
            <w:r>
              <w:t xml:space="preserve">677.51</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677.51</w:t>
            </w:r>
          </w:p>
        </w:tc>
        <w:tc>
          <w:tcPr>
            <w:tcW w:w="2551" w:type="dxa"/>
            <w:vAlign w:val="center"/>
          </w:tcPr>
          <w:p>
            <w:pPr>
              <w:pStyle w:val="单元格样式7"/>
            </w:pPr>
            <w:r>
              <w:t xml:space="preserve">412.39</w:t>
            </w:r>
          </w:p>
        </w:tc>
        <w:tc>
          <w:tcPr>
            <w:tcW w:w="2551" w:type="dxa"/>
            <w:vAlign w:val="center"/>
          </w:tcPr>
          <w:p>
            <w:pPr>
              <w:pStyle w:val="单元格样式7"/>
            </w:pPr>
            <w:r>
              <w:t xml:space="preserve">265.12</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207</w:t>
            </w:r>
          </w:p>
        </w:tc>
        <w:tc>
          <w:tcPr>
            <w:tcW w:w="4535" w:type="dxa"/>
            <w:vAlign w:val="center"/>
          </w:tcPr>
          <w:p>
            <w:pPr>
              <w:pStyle w:val="单元格样式2"/>
            </w:pPr>
            <w:r>
              <w:t xml:space="preserve">文化旅游体育与传媒支出</w:t>
            </w:r>
          </w:p>
        </w:tc>
        <w:tc>
          <w:tcPr>
            <w:tcW w:w="2551" w:type="dxa"/>
            <w:vAlign w:val="center"/>
          </w:tcPr>
          <w:p>
            <w:pPr>
              <w:pStyle w:val="单元格样式4"/>
            </w:pPr>
            <w:r>
              <w:t xml:space="preserve">677.51</w:t>
            </w:r>
          </w:p>
        </w:tc>
        <w:tc>
          <w:tcPr>
            <w:tcW w:w="2551" w:type="dxa"/>
            <w:vAlign w:val="center"/>
          </w:tcPr>
          <w:p>
            <w:pPr>
              <w:pStyle w:val="单元格样式4"/>
            </w:pPr>
            <w:r>
              <w:t xml:space="preserve">412.39</w:t>
            </w:r>
          </w:p>
        </w:tc>
        <w:tc>
          <w:tcPr>
            <w:tcW w:w="2551" w:type="dxa"/>
            <w:vAlign w:val="center"/>
          </w:tcPr>
          <w:p>
            <w:pPr>
              <w:pStyle w:val="单元格样式4"/>
            </w:pPr>
            <w:r>
              <w:t xml:space="preserve">265.12</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20701</w:t>
            </w:r>
          </w:p>
        </w:tc>
        <w:tc>
          <w:tcPr>
            <w:tcW w:w="4535" w:type="dxa"/>
            <w:vAlign w:val="center"/>
          </w:tcPr>
          <w:p>
            <w:pPr>
              <w:pStyle w:val="单元格样式2"/>
            </w:pPr>
            <w:r>
              <w:t xml:space="preserve">文化和旅游</w:t>
            </w:r>
          </w:p>
        </w:tc>
        <w:tc>
          <w:tcPr>
            <w:tcW w:w="2551" w:type="dxa"/>
            <w:vAlign w:val="center"/>
          </w:tcPr>
          <w:p>
            <w:pPr>
              <w:pStyle w:val="单元格样式4"/>
            </w:pPr>
            <w:r>
              <w:t xml:space="preserve">677.51</w:t>
            </w:r>
          </w:p>
        </w:tc>
        <w:tc>
          <w:tcPr>
            <w:tcW w:w="2551" w:type="dxa"/>
            <w:vAlign w:val="center"/>
          </w:tcPr>
          <w:p>
            <w:pPr>
              <w:pStyle w:val="单元格样式4"/>
            </w:pPr>
            <w:r>
              <w:t xml:space="preserve">412.39</w:t>
            </w:r>
          </w:p>
        </w:tc>
        <w:tc>
          <w:tcPr>
            <w:tcW w:w="2551" w:type="dxa"/>
            <w:vAlign w:val="center"/>
          </w:tcPr>
          <w:p>
            <w:pPr>
              <w:pStyle w:val="单元格样式4"/>
            </w:pPr>
            <w:r>
              <w:t xml:space="preserve">265.12</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2070104</w:t>
            </w:r>
          </w:p>
        </w:tc>
        <w:tc>
          <w:tcPr>
            <w:tcW w:w="4535" w:type="dxa"/>
            <w:vAlign w:val="center"/>
          </w:tcPr>
          <w:p>
            <w:pPr>
              <w:pStyle w:val="单元格样式2"/>
            </w:pPr>
            <w:r>
              <w:t xml:space="preserve">图书馆</w:t>
            </w:r>
          </w:p>
        </w:tc>
        <w:tc>
          <w:tcPr>
            <w:tcW w:w="2551" w:type="dxa"/>
            <w:vAlign w:val="center"/>
          </w:tcPr>
          <w:p>
            <w:pPr>
              <w:pStyle w:val="单元格样式4"/>
            </w:pPr>
            <w:r>
              <w:t xml:space="preserve">654.71</w:t>
            </w:r>
          </w:p>
        </w:tc>
        <w:tc>
          <w:tcPr>
            <w:tcW w:w="2551" w:type="dxa"/>
            <w:vAlign w:val="center"/>
          </w:tcPr>
          <w:p>
            <w:pPr>
              <w:pStyle w:val="单元格样式4"/>
            </w:pPr>
            <w:r>
              <w:t xml:space="preserve">412.39</w:t>
            </w:r>
          </w:p>
        </w:tc>
        <w:tc>
          <w:tcPr>
            <w:tcW w:w="2551" w:type="dxa"/>
            <w:vAlign w:val="center"/>
          </w:tcPr>
          <w:p>
            <w:pPr>
              <w:pStyle w:val="单元格样式4"/>
            </w:pPr>
            <w:r>
              <w:t xml:space="preserve">242.32</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2070199</w:t>
            </w:r>
          </w:p>
        </w:tc>
        <w:tc>
          <w:tcPr>
            <w:tcW w:w="4535" w:type="dxa"/>
            <w:vAlign w:val="center"/>
          </w:tcPr>
          <w:p>
            <w:pPr>
              <w:pStyle w:val="单元格样式2"/>
            </w:pPr>
            <w:r>
              <w:t xml:space="preserve">其他文化和旅游支出</w:t>
            </w:r>
          </w:p>
        </w:tc>
        <w:tc>
          <w:tcPr>
            <w:tcW w:w="2551" w:type="dxa"/>
            <w:vAlign w:val="center"/>
          </w:tcPr>
          <w:p>
            <w:pPr>
              <w:pStyle w:val="单元格样式4"/>
            </w:pPr>
            <w:r>
              <w:t xml:space="preserve">22.80</w:t>
            </w:r>
          </w:p>
        </w:tc>
        <w:tc>
          <w:tcPr>
            <w:tcW w:w="2551" w:type="dxa"/>
            <w:vAlign w:val="center"/>
          </w:tcPr>
          <w:p>
            <w:pPr>
              <w:pStyle w:val="单元格样式4"/>
            </w:pPr>
          </w:p>
        </w:tc>
        <w:tc>
          <w:tcPr>
            <w:tcW w:w="2551" w:type="dxa"/>
            <w:vAlign w:val="center"/>
          </w:tcPr>
          <w:p>
            <w:pPr>
              <w:pStyle w:val="单元格样式4"/>
            </w:pPr>
            <w:r>
              <w:t xml:space="preserve">22.80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412.39</w:t>
            </w:r>
          </w:p>
        </w:tc>
        <w:tc>
          <w:tcPr>
            <w:tcW w:w="2551" w:type="dxa"/>
            <w:vAlign w:val="center"/>
          </w:tcPr>
          <w:p>
            <w:pPr>
              <w:pStyle w:val="单元格样式7"/>
            </w:pPr>
            <w:r>
              <w:t xml:space="preserve">313.61</w:t>
            </w:r>
          </w:p>
        </w:tc>
        <w:tc>
          <w:tcPr>
            <w:tcW w:w="2551" w:type="dxa"/>
            <w:vAlign w:val="center"/>
          </w:tcPr>
          <w:p>
            <w:pPr>
              <w:pStyle w:val="单元格样式7"/>
            </w:pPr>
            <w:r>
              <w:t xml:space="preserve">98.78</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280.34</w:t>
            </w:r>
          </w:p>
        </w:tc>
        <w:tc>
          <w:tcPr>
            <w:tcW w:w="2551" w:type="dxa"/>
            <w:vAlign w:val="center"/>
          </w:tcPr>
          <w:p>
            <w:pPr>
              <w:pStyle w:val="单元格样式4"/>
            </w:pPr>
            <w:r>
              <w:t xml:space="preserve">280.34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57.02</w:t>
            </w:r>
          </w:p>
        </w:tc>
        <w:tc>
          <w:tcPr>
            <w:tcW w:w="2551" w:type="dxa"/>
            <w:vAlign w:val="center"/>
          </w:tcPr>
          <w:p>
            <w:pPr>
              <w:pStyle w:val="单元格样式4"/>
            </w:pPr>
            <w:r>
              <w:t xml:space="preserve">57.02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11.19</w:t>
            </w:r>
          </w:p>
        </w:tc>
        <w:tc>
          <w:tcPr>
            <w:tcW w:w="2551" w:type="dxa"/>
            <w:vAlign w:val="center"/>
          </w:tcPr>
          <w:p>
            <w:pPr>
              <w:pStyle w:val="单元格样式4"/>
            </w:pPr>
            <w:r>
              <w:t xml:space="preserve">11.19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73.32</w:t>
            </w:r>
          </w:p>
        </w:tc>
        <w:tc>
          <w:tcPr>
            <w:tcW w:w="2551" w:type="dxa"/>
            <w:vAlign w:val="center"/>
          </w:tcPr>
          <w:p>
            <w:pPr>
              <w:pStyle w:val="单元格样式4"/>
            </w:pPr>
            <w:r>
              <w:t xml:space="preserve">73.32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20.86</w:t>
            </w:r>
          </w:p>
        </w:tc>
        <w:tc>
          <w:tcPr>
            <w:tcW w:w="2551" w:type="dxa"/>
            <w:vAlign w:val="center"/>
          </w:tcPr>
          <w:p>
            <w:pPr>
              <w:pStyle w:val="单元格样式4"/>
            </w:pPr>
            <w:r>
              <w:t xml:space="preserve">20.86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8.11</w:t>
            </w:r>
          </w:p>
        </w:tc>
        <w:tc>
          <w:tcPr>
            <w:tcW w:w="2551" w:type="dxa"/>
            <w:vAlign w:val="center"/>
          </w:tcPr>
          <w:p>
            <w:pPr>
              <w:pStyle w:val="单元格样式4"/>
            </w:pPr>
            <w:r>
              <w:t xml:space="preserve">8.11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15.73</w:t>
            </w:r>
          </w:p>
        </w:tc>
        <w:tc>
          <w:tcPr>
            <w:tcW w:w="2551" w:type="dxa"/>
            <w:vAlign w:val="center"/>
          </w:tcPr>
          <w:p>
            <w:pPr>
              <w:pStyle w:val="单元格样式4"/>
            </w:pPr>
            <w:r>
              <w:t xml:space="preserve">15.73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1.29</w:t>
            </w:r>
          </w:p>
        </w:tc>
        <w:tc>
          <w:tcPr>
            <w:tcW w:w="2551" w:type="dxa"/>
            <w:vAlign w:val="center"/>
          </w:tcPr>
          <w:p>
            <w:pPr>
              <w:pStyle w:val="单元格样式4"/>
            </w:pPr>
            <w:r>
              <w:t xml:space="preserve">1.29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16.95</w:t>
            </w:r>
          </w:p>
        </w:tc>
        <w:tc>
          <w:tcPr>
            <w:tcW w:w="2551" w:type="dxa"/>
            <w:vAlign w:val="center"/>
          </w:tcPr>
          <w:p>
            <w:pPr>
              <w:pStyle w:val="单元格样式4"/>
            </w:pPr>
            <w:r>
              <w:t xml:space="preserve">16.95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75.87</w:t>
            </w:r>
          </w:p>
        </w:tc>
        <w:tc>
          <w:tcPr>
            <w:tcW w:w="2551" w:type="dxa"/>
            <w:vAlign w:val="center"/>
          </w:tcPr>
          <w:p>
            <w:pPr>
              <w:pStyle w:val="单元格样式4"/>
            </w:pPr>
            <w:r>
              <w:t xml:space="preserve">75.87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98.78</w:t>
            </w:r>
          </w:p>
        </w:tc>
        <w:tc>
          <w:tcPr>
            <w:tcW w:w="2551" w:type="dxa"/>
            <w:vAlign w:val="center"/>
          </w:tcPr>
          <w:p>
            <w:pPr>
              <w:pStyle w:val="单元格样式4"/>
            </w:pPr>
          </w:p>
        </w:tc>
        <w:tc>
          <w:tcPr>
            <w:tcW w:w="2551" w:type="dxa"/>
            <w:vAlign w:val="center"/>
          </w:tcPr>
          <w:p>
            <w:pPr>
              <w:pStyle w:val="单元格样式4"/>
            </w:pPr>
            <w:r>
              <w:t xml:space="preserve">98.78</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3.92</w:t>
            </w:r>
          </w:p>
        </w:tc>
        <w:tc>
          <w:tcPr>
            <w:tcW w:w="2551" w:type="dxa"/>
            <w:vAlign w:val="center"/>
          </w:tcPr>
          <w:p>
            <w:pPr>
              <w:pStyle w:val="单元格样式4"/>
            </w:pPr>
          </w:p>
        </w:tc>
        <w:tc>
          <w:tcPr>
            <w:tcW w:w="2551" w:type="dxa"/>
            <w:vAlign w:val="center"/>
          </w:tcPr>
          <w:p>
            <w:pPr>
              <w:pStyle w:val="单元格样式4"/>
            </w:pPr>
            <w:r>
              <w:t xml:space="preserve">3.92</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43.00</w:t>
            </w:r>
          </w:p>
        </w:tc>
        <w:tc>
          <w:tcPr>
            <w:tcW w:w="2551" w:type="dxa"/>
            <w:vAlign w:val="center"/>
          </w:tcPr>
          <w:p>
            <w:pPr>
              <w:pStyle w:val="单元格样式4"/>
            </w:pPr>
          </w:p>
        </w:tc>
        <w:tc>
          <w:tcPr>
            <w:tcW w:w="2551" w:type="dxa"/>
            <w:vAlign w:val="center"/>
          </w:tcPr>
          <w:p>
            <w:pPr>
              <w:pStyle w:val="单元格样式4"/>
            </w:pPr>
            <w:r>
              <w:t xml:space="preserve">43.00</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0.40</w:t>
            </w:r>
          </w:p>
        </w:tc>
        <w:tc>
          <w:tcPr>
            <w:tcW w:w="2551" w:type="dxa"/>
            <w:vAlign w:val="center"/>
          </w:tcPr>
          <w:p>
            <w:pPr>
              <w:pStyle w:val="单元格样式4"/>
            </w:pPr>
          </w:p>
        </w:tc>
        <w:tc>
          <w:tcPr>
            <w:tcW w:w="2551" w:type="dxa"/>
            <w:vAlign w:val="center"/>
          </w:tcPr>
          <w:p>
            <w:pPr>
              <w:pStyle w:val="单元格样式4"/>
            </w:pPr>
            <w:r>
              <w:t xml:space="preserve">0.40</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37.86</w:t>
            </w:r>
          </w:p>
        </w:tc>
        <w:tc>
          <w:tcPr>
            <w:tcW w:w="2551" w:type="dxa"/>
            <w:vAlign w:val="center"/>
          </w:tcPr>
          <w:p>
            <w:pPr>
              <w:pStyle w:val="单元格样式4"/>
            </w:pPr>
          </w:p>
        </w:tc>
        <w:tc>
          <w:tcPr>
            <w:tcW w:w="2551" w:type="dxa"/>
            <w:vAlign w:val="center"/>
          </w:tcPr>
          <w:p>
            <w:pPr>
              <w:pStyle w:val="单元格样式4"/>
            </w:pPr>
            <w:r>
              <w:t xml:space="preserve">37.86</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0.30</w:t>
            </w:r>
          </w:p>
        </w:tc>
        <w:tc>
          <w:tcPr>
            <w:tcW w:w="2551" w:type="dxa"/>
            <w:vAlign w:val="center"/>
          </w:tcPr>
          <w:p>
            <w:pPr>
              <w:pStyle w:val="单元格样式4"/>
            </w:pPr>
          </w:p>
        </w:tc>
        <w:tc>
          <w:tcPr>
            <w:tcW w:w="2551" w:type="dxa"/>
            <w:vAlign w:val="center"/>
          </w:tcPr>
          <w:p>
            <w:pPr>
              <w:pStyle w:val="单元格样式4"/>
            </w:pPr>
            <w:r>
              <w:t xml:space="preserve">0.30</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4.20</w:t>
            </w:r>
          </w:p>
        </w:tc>
        <w:tc>
          <w:tcPr>
            <w:tcW w:w="2551" w:type="dxa"/>
            <w:vAlign w:val="center"/>
          </w:tcPr>
          <w:p>
            <w:pPr>
              <w:pStyle w:val="单元格样式4"/>
            </w:pPr>
          </w:p>
        </w:tc>
        <w:tc>
          <w:tcPr>
            <w:tcW w:w="2551" w:type="dxa"/>
            <w:vAlign w:val="center"/>
          </w:tcPr>
          <w:p>
            <w:pPr>
              <w:pStyle w:val="单元格样式4"/>
            </w:pPr>
            <w:r>
              <w:t xml:space="preserve">4.20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1.88</w:t>
            </w:r>
          </w:p>
        </w:tc>
        <w:tc>
          <w:tcPr>
            <w:tcW w:w="2551" w:type="dxa"/>
            <w:vAlign w:val="center"/>
          </w:tcPr>
          <w:p>
            <w:pPr>
              <w:pStyle w:val="单元格样式4"/>
            </w:pPr>
          </w:p>
        </w:tc>
        <w:tc>
          <w:tcPr>
            <w:tcW w:w="2551" w:type="dxa"/>
            <w:vAlign w:val="center"/>
          </w:tcPr>
          <w:p>
            <w:pPr>
              <w:pStyle w:val="单元格样式4"/>
            </w:pPr>
            <w:r>
              <w:t xml:space="preserve">1.88</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5.00</w:t>
            </w:r>
          </w:p>
        </w:tc>
        <w:tc>
          <w:tcPr>
            <w:tcW w:w="2551" w:type="dxa"/>
            <w:vAlign w:val="center"/>
          </w:tcPr>
          <w:p>
            <w:pPr>
              <w:pStyle w:val="单元格样式4"/>
            </w:pPr>
          </w:p>
        </w:tc>
        <w:tc>
          <w:tcPr>
            <w:tcW w:w="2551" w:type="dxa"/>
            <w:vAlign w:val="center"/>
          </w:tcPr>
          <w:p>
            <w:pPr>
              <w:pStyle w:val="单元格样式4"/>
            </w:pPr>
            <w:r>
              <w:t xml:space="preserve">5.00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1.22</w:t>
            </w:r>
          </w:p>
        </w:tc>
        <w:tc>
          <w:tcPr>
            <w:tcW w:w="2551" w:type="dxa"/>
            <w:vAlign w:val="center"/>
          </w:tcPr>
          <w:p>
            <w:pPr>
              <w:pStyle w:val="单元格样式4"/>
            </w:pPr>
          </w:p>
        </w:tc>
        <w:tc>
          <w:tcPr>
            <w:tcW w:w="2551" w:type="dxa"/>
            <w:vAlign w:val="center"/>
          </w:tcPr>
          <w:p>
            <w:pPr>
              <w:pStyle w:val="单元格样式4"/>
            </w:pPr>
            <w:r>
              <w:t xml:space="preserve">1.22</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33.27</w:t>
            </w:r>
          </w:p>
        </w:tc>
        <w:tc>
          <w:tcPr>
            <w:tcW w:w="2551" w:type="dxa"/>
            <w:vAlign w:val="center"/>
          </w:tcPr>
          <w:p>
            <w:pPr>
              <w:pStyle w:val="单元格样式4"/>
            </w:pPr>
            <w:r>
              <w:t xml:space="preserve">33.27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33.23</w:t>
            </w:r>
          </w:p>
        </w:tc>
        <w:tc>
          <w:tcPr>
            <w:tcW w:w="2551" w:type="dxa"/>
            <w:vAlign w:val="center"/>
          </w:tcPr>
          <w:p>
            <w:pPr>
              <w:pStyle w:val="单元格样式4"/>
            </w:pPr>
            <w:r>
              <w:t xml:space="preserve">33.23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30309</w:t>
            </w:r>
          </w:p>
        </w:tc>
        <w:tc>
          <w:tcPr>
            <w:tcW w:w="4535" w:type="dxa"/>
            <w:vAlign w:val="center"/>
          </w:tcPr>
          <w:p>
            <w:pPr>
              <w:pStyle w:val="单元格样式2"/>
            </w:pPr>
            <w:r>
              <w:t xml:space="preserve">奖励金</w:t>
            </w:r>
          </w:p>
        </w:tc>
        <w:tc>
          <w:tcPr>
            <w:tcW w:w="2551" w:type="dxa"/>
            <w:vAlign w:val="center"/>
          </w:tcPr>
          <w:p>
            <w:pPr>
              <w:pStyle w:val="单元格样式4"/>
            </w:pPr>
            <w:r>
              <w:t xml:space="preserve">0.04</w:t>
            </w:r>
          </w:p>
        </w:tc>
        <w:tc>
          <w:tcPr>
            <w:tcW w:w="2551" w:type="dxa"/>
            <w:vAlign w:val="center"/>
          </w:tcPr>
          <w:p>
            <w:pPr>
              <w:pStyle w:val="单元格样式4"/>
            </w:pPr>
            <w:r>
              <w:t xml:space="preserve">0.04</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合计</w:t>
            </w:r>
          </w:p>
        </w:tc>
        <w:tc>
          <w:tcPr>
            <w:tcW w:w="2381" w:type="dxa"/>
            <w:vAlign w:val="center"/>
          </w:tcPr>
          <w:p>
            <w:pPr>
              <w:pStyle w:val="单元格样式7"/>
            </w:pPr>
            <w:r>
              <w:t xml:space="preserve">5.30</w:t>
            </w:r>
          </w:p>
        </w:tc>
        <w:tc>
          <w:tcPr>
            <w:tcW w:w="2381" w:type="dxa"/>
            <w:vAlign w:val="center"/>
          </w:tcPr>
          <w:p>
            <w:pPr>
              <w:pStyle w:val="单元格样式7"/>
            </w:pPr>
            <w:r>
              <w:t xml:space="preserve">5.30</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“三公”经费小计</w:t>
            </w:r>
          </w:p>
        </w:tc>
        <w:tc>
          <w:tcPr>
            <w:tcW w:w="2381" w:type="dxa"/>
            <w:vAlign w:val="center"/>
          </w:tcPr>
          <w:p>
            <w:pPr>
              <w:pStyle w:val="单元格样式4"/>
            </w:pPr>
            <w:r>
              <w:t xml:space="preserve">5.30</w:t>
            </w:r>
          </w:p>
        </w:tc>
        <w:tc>
          <w:tcPr>
            <w:tcW w:w="2381" w:type="dxa"/>
            <w:vAlign w:val="center"/>
          </w:tcPr>
          <w:p>
            <w:pPr>
              <w:pStyle w:val="单元格样式4"/>
            </w:pPr>
            <w:r>
              <w:t xml:space="preserve">5.30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5.00</w:t>
            </w:r>
          </w:p>
        </w:tc>
        <w:tc>
          <w:tcPr>
            <w:tcW w:w="2381" w:type="dxa"/>
            <w:vAlign w:val="center"/>
          </w:tcPr>
          <w:p>
            <w:pPr>
              <w:pStyle w:val="单元格样式4"/>
            </w:pPr>
            <w:r>
              <w:t xml:space="preserve">5.00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5.00</w:t>
            </w:r>
          </w:p>
        </w:tc>
        <w:tc>
          <w:tcPr>
            <w:tcW w:w="2381" w:type="dxa"/>
            <w:vAlign w:val="center"/>
          </w:tcPr>
          <w:p>
            <w:pPr>
              <w:pStyle w:val="单元格样式4"/>
            </w:pPr>
            <w:r>
              <w:t xml:space="preserve">5.00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0.30</w:t>
            </w:r>
          </w:p>
        </w:tc>
        <w:tc>
          <w:tcPr>
            <w:tcW w:w="2381" w:type="dxa"/>
            <w:vAlign w:val="center"/>
          </w:tcPr>
          <w:p>
            <w:pPr>
              <w:pStyle w:val="单元格样式4"/>
            </w:pPr>
            <w:r>
              <w:t xml:space="preserve">0.30</w:t>
            </w: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唐山市丰南区图书馆本级2024年单位预算信息公开情况说明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按照《中华人民共和国预算法》、《地方预决算公开操作规程》和《关于进一步推进预算公开工作的实施意见》规定，现将唐山市丰南区图书馆本级2024年单位预算公开如下：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保存、整理和传播书刊、文献信息资料、数字资源，组织阅读推广系列活动，构建全区阅读管理服务体系，开展社会教育及系列文化活动，服务我区“两个”文明建设。</w:t>
      </w:r>
    </w:p>
    <w:p>
      <w:pPr>
        <w:pStyle w:val="插入文本样式-插入单位职责文件"/>
      </w:pPr>
      <w:r>
        <w:t xml:space="preserve">深化服务，不断开拓创新，不断提升效能，开展基层图书馆室辅导、管理工作，完善全区图书馆体系建设，发展全区图书馆事业，构建书香丰南，文化丰南，和谐丰南。</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唐山市丰南区图书馆本级</w:t>
            </w:r>
          </w:p>
        </w:tc>
        <w:tc>
          <w:tcPr>
            <w:tcW w:w="1843" w:type="dxa"/>
            <w:vAlign w:val="center"/>
          </w:tcPr>
          <w:p>
            <w:pPr>
              <w:pStyle w:val="单元格样式3"/>
            </w:pPr>
            <w:r>
              <w:t xml:space="preserve">事业</w:t>
            </w:r>
          </w:p>
        </w:tc>
        <w:tc>
          <w:tcPr>
            <w:tcW w:w="2126" w:type="dxa"/>
            <w:vAlign w:val="center"/>
          </w:tcPr>
          <w:p>
            <w:pPr>
              <w:pStyle w:val="单元格样式3"/>
            </w:pPr>
            <w:r>
              <w:t xml:space="preserve">股级</w:t>
            </w:r>
          </w:p>
        </w:tc>
        <w:tc>
          <w:tcPr>
            <w:tcW w:w="3827" w:type="dxa"/>
            <w:vAlign w:val="center"/>
          </w:tcPr>
          <w:p>
            <w:pPr>
              <w:pStyle w:val="单元格样式3"/>
            </w:pPr>
            <w:r>
              <w:t xml:space="preserve">财政性资金基本保证</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r>
        <w:t xml:space="preserve">按照预算管理有关规定，目前单位预算的编制实行综合预算管理，即全部收入和支出都反映在预算中。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单位当年全部收入。2024年预算收入677.51万元，其中：一般公共预算收入677.51万元，基金预算收入0.00万元，国有资本经营预算收入0.00万元，财政专户核拨收入0.00万元，单位资金收入0.00万元，上年结转结余0.00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唐山市丰南区图书馆本级年度单位预算中支出预算的总体情况。2024年支出预算677.51万元，其中基本支出412.39万元，包括人员经费313.61万元和日常公用经费98.78万元；项目支出265.12万元，主要为为劳务派遣人员工资保险及读者书证押金清退等</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2024年预算收支安排677.51万元，较2023年预算增加74.25万元，其中：基本支出减少6.55万元，主要为人员经费减少1.87万元，日常公用经费减少4.68万元等项目支出增加80.80万元，主要为清退读者书证押金增加70万元；劳务派遣人员工资保险增加12万元；提前下达专款减少1.2万元等</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2023年机关运行经费共计安排100.65万元，主要包括用于保证机关正常运转的办公及印刷费、邮电费、差旅费、会议费、日常维修费、专用材料及一般设备购置费、办公用房水电费、办公用房取暖费、办公用房物业管理费、公务用车运行维护费、工会费、福利费、移动通讯补贴、交通补贴、劳务费等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2024年，我单位财政拨款“三公”经费预算安排5.30万元，其中因公出国（境）费0.00万元；公务用车购置及运维费5.00万元（其中：公务用车购置费为0.00万元，公务用车运维费5.00万元)；公务接待费0.30万元。与2023年相比增加0.00万元，增减变化的主要原因是没有增加变化</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1、丰南图书馆劳务派遣经费（劳务费）绩效目标表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13020724P006CE610024R</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丰南图书馆劳务派遣经费（劳务费）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148.00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148.00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2024年丰南图书馆劳务派遣经费（劳务费）资金148万元，主要用于支付图书馆29名劳务派遣人员的工资103万元、管理费3万元，单位负担的保险42万。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1.准确、及时发放劳务派遣馆员工资、保险，保证馆员工作积极性、稳定性.按图书馆《绩效考核方案》对劳务派遣馆员进行绩效考核，提升服务质量，优质服务读者</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劳务派遣岗位数量</w:t>
            </w:r>
          </w:p>
        </w:tc>
        <w:tc>
          <w:tcPr>
            <w:tcW w:w="5386" w:type="dxa"/>
            <w:hMerge w:val="restart"/>
            <w:vAlign w:val="center"/>
          </w:tcPr>
          <w:p>
            <w:pPr>
              <w:pStyle w:val="单元格样式2"/>
            </w:pPr>
            <w:r>
              <w:t xml:space="preserve">年度本馆劳务派遣岗位人数</w:t>
            </w:r>
          </w:p>
        </w:tc>
        <w:tc>
          <w:tcPr>
            <w:tcW w:w="0" w:type="auto"/>
            <w:hMerge/>
            <w:vAlign w:val="center"/>
          </w:tcPr>
          <w:p>
            <w:pPr/>
          </w:p>
        </w:tc>
        <w:tc>
          <w:tcPr>
            <w:tcW w:w="2268" w:type="dxa"/>
            <w:vAlign w:val="center"/>
          </w:tcPr>
          <w:p>
            <w:pPr>
              <w:pStyle w:val="单元格样式2"/>
            </w:pPr>
            <w:r>
              <w:t xml:space="preserve">≥29人</w:t>
            </w:r>
          </w:p>
        </w:tc>
        <w:tc>
          <w:tcPr>
            <w:tcW w:w="1276" w:type="dxa"/>
            <w:vAlign w:val="center"/>
          </w:tcPr>
          <w:p>
            <w:pPr>
              <w:pStyle w:val="单元格样式2"/>
            </w:pPr>
            <w:r>
              <w:t xml:space="preserve">工作预计测算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工资发放准确率</w:t>
            </w:r>
          </w:p>
        </w:tc>
        <w:tc>
          <w:tcPr>
            <w:tcW w:w="5386" w:type="dxa"/>
            <w:hMerge w:val="restart"/>
            <w:vAlign w:val="center"/>
          </w:tcPr>
          <w:p>
            <w:pPr>
              <w:pStyle w:val="单元格样式2"/>
            </w:pPr>
            <w:r>
              <w:t xml:space="preserve">准确发放次数与总发放次数比率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工作预计测算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绩效考核率</w:t>
            </w:r>
          </w:p>
        </w:tc>
        <w:tc>
          <w:tcPr>
            <w:tcW w:w="5386" w:type="dxa"/>
            <w:hMerge w:val="restart"/>
            <w:vAlign w:val="center"/>
          </w:tcPr>
          <w:p>
            <w:pPr>
              <w:pStyle w:val="单元格样式2"/>
            </w:pPr>
            <w:r>
              <w:t xml:space="preserve">参与绩效考核的人员与全体人员的比率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工作预计测算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工资发放及时率</w:t>
            </w:r>
          </w:p>
        </w:tc>
        <w:tc>
          <w:tcPr>
            <w:tcW w:w="5386" w:type="dxa"/>
            <w:hMerge w:val="restart"/>
            <w:vAlign w:val="center"/>
          </w:tcPr>
          <w:p>
            <w:pPr>
              <w:pStyle w:val="单元格样式2"/>
            </w:pPr>
            <w:r>
              <w:t xml:space="preserve">及时发放次数与总发放次数比率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工作预计测算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读者满意度</w:t>
            </w:r>
          </w:p>
        </w:tc>
        <w:tc>
          <w:tcPr>
            <w:tcW w:w="5386" w:type="dxa"/>
            <w:hMerge w:val="restart"/>
            <w:vAlign w:val="center"/>
          </w:tcPr>
          <w:p>
            <w:pPr>
              <w:pStyle w:val="单元格样式2"/>
            </w:pPr>
            <w:r>
              <w:t xml:space="preserve">各种渠道读者调查对图书馆满意读者与调查总样本比率</w:t>
            </w:r>
          </w:p>
        </w:tc>
        <w:tc>
          <w:tcPr>
            <w:tcW w:w="0" w:type="auto"/>
            <w:hMerge/>
            <w:vAlign w:val="center"/>
          </w:tcPr>
          <w:p>
            <w:pPr/>
          </w:p>
        </w:tc>
        <w:tc>
          <w:tcPr>
            <w:tcW w:w="2268" w:type="dxa"/>
            <w:vAlign w:val="center"/>
          </w:tcPr>
          <w:p>
            <w:pPr>
              <w:pStyle w:val="单元格样式2"/>
            </w:pPr>
            <w:r>
              <w:t xml:space="preserve">≥85%</w:t>
            </w:r>
          </w:p>
        </w:tc>
        <w:tc>
          <w:tcPr>
            <w:tcW w:w="1276" w:type="dxa"/>
            <w:vAlign w:val="center"/>
          </w:tcPr>
          <w:p>
            <w:pPr>
              <w:pStyle w:val="单元格样式2"/>
            </w:pPr>
            <w:r>
              <w:t xml:space="preserve">工作预计测算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安排就业人数</w:t>
            </w:r>
          </w:p>
        </w:tc>
        <w:tc>
          <w:tcPr>
            <w:tcW w:w="5386" w:type="dxa"/>
            <w:hMerge w:val="restart"/>
            <w:vAlign w:val="center"/>
          </w:tcPr>
          <w:p>
            <w:pPr>
              <w:pStyle w:val="单元格样式2"/>
            </w:pPr>
            <w:r>
              <w:t xml:space="preserve">年度内在本馆劳务派遣人员数量</w:t>
            </w:r>
          </w:p>
        </w:tc>
        <w:tc>
          <w:tcPr>
            <w:tcW w:w="0" w:type="auto"/>
            <w:hMerge/>
            <w:vAlign w:val="center"/>
          </w:tcPr>
          <w:p>
            <w:pPr/>
          </w:p>
        </w:tc>
        <w:tc>
          <w:tcPr>
            <w:tcW w:w="2268" w:type="dxa"/>
            <w:vAlign w:val="center"/>
          </w:tcPr>
          <w:p>
            <w:pPr>
              <w:pStyle w:val="单元格样式2"/>
            </w:pPr>
            <w:r>
              <w:t xml:space="preserve">≥29人</w:t>
            </w:r>
          </w:p>
        </w:tc>
        <w:tc>
          <w:tcPr>
            <w:tcW w:w="1276" w:type="dxa"/>
            <w:vAlign w:val="center"/>
          </w:tcPr>
          <w:p>
            <w:pPr>
              <w:pStyle w:val="单元格样式2"/>
            </w:pPr>
            <w:r>
              <w:t xml:space="preserve">工作预计测算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绩效考核率</w:t>
            </w:r>
          </w:p>
        </w:tc>
        <w:tc>
          <w:tcPr>
            <w:tcW w:w="5386" w:type="dxa"/>
            <w:hMerge w:val="restart"/>
            <w:vAlign w:val="center"/>
          </w:tcPr>
          <w:p>
            <w:pPr>
              <w:pStyle w:val="单元格样式2"/>
            </w:pPr>
            <w:r>
              <w:t xml:space="preserve">年度参加绩效考核的劳务派遣人员与全部劳务派遣人员比率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工作预计测算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服务对象满意度指标</w:t>
            </w:r>
          </w:p>
        </w:tc>
        <w:tc>
          <w:tcPr>
            <w:tcW w:w="5386" w:type="dxa"/>
            <w:hMerge w:val="restart"/>
            <w:vAlign w:val="center"/>
          </w:tcPr>
          <w:p>
            <w:pPr>
              <w:pStyle w:val="单元格样式2"/>
            </w:pPr>
            <w:r>
              <w:t xml:space="preserve">劳务派遣人员对待遇发放满意度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工作预计测算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2、丰南图书馆免费开放年度专项经费绩效目标表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13020724P006CE610027L</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丰南图书馆免费开放年度专项经费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依据免费开放管理办法，2024年丰南图书馆申请免费开放资金10万元，用于图书馆文献资源借阅、检索与咨询，文化信息资源共享工程、公共电子阅览室服务及设备运行维护，业务活动用房小型修缮及零星业务设备更新等。预计2024年电子设备、网络运行维护及家具维修维护5万元，加工制作业务用音频、视频资料等5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1.完成电子设备及家具维修，办公设备及存储设备购置，保证正常运行，完成图书馆网络、借阅等系统升级，保持系统稳定运行。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音频视频制作数量</w:t>
            </w:r>
          </w:p>
        </w:tc>
        <w:tc>
          <w:tcPr>
            <w:tcW w:w="5386" w:type="dxa"/>
            <w:hMerge w:val="restart"/>
            <w:vAlign w:val="center"/>
          </w:tcPr>
          <w:p>
            <w:pPr>
              <w:pStyle w:val="单元格样式2"/>
            </w:pPr>
            <w:r>
              <w:t xml:space="preserve">利用免费开放资金进行制作的音视频</w:t>
            </w:r>
          </w:p>
        </w:tc>
        <w:tc>
          <w:tcPr>
            <w:tcW w:w="0" w:type="auto"/>
            <w:hMerge/>
            <w:vAlign w:val="center"/>
          </w:tcPr>
          <w:p>
            <w:pPr/>
          </w:p>
        </w:tc>
        <w:tc>
          <w:tcPr>
            <w:tcW w:w="2268" w:type="dxa"/>
            <w:vAlign w:val="center"/>
          </w:tcPr>
          <w:p>
            <w:pPr>
              <w:pStyle w:val="单元格样式2"/>
            </w:pPr>
            <w:r>
              <w:t xml:space="preserve">&gt;8场</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家具完好率</w:t>
            </w:r>
          </w:p>
        </w:tc>
        <w:tc>
          <w:tcPr>
            <w:tcW w:w="5386" w:type="dxa"/>
            <w:hMerge w:val="restart"/>
            <w:vAlign w:val="center"/>
          </w:tcPr>
          <w:p>
            <w:pPr>
              <w:pStyle w:val="单元格样式2"/>
            </w:pPr>
            <w:r>
              <w:t xml:space="preserve">正常使用的家具与所有家具比率</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各项开支严格控制在年度预算内</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电子设备有效利用</w:t>
            </w:r>
          </w:p>
        </w:tc>
        <w:tc>
          <w:tcPr>
            <w:tcW w:w="5386" w:type="dxa"/>
            <w:hMerge w:val="restart"/>
            <w:vAlign w:val="center"/>
          </w:tcPr>
          <w:p>
            <w:pPr>
              <w:pStyle w:val="单元格样式2"/>
            </w:pPr>
            <w:r>
              <w:t xml:space="preserve">电子设备故障修复时间</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网络关注度</w:t>
            </w:r>
          </w:p>
        </w:tc>
        <w:tc>
          <w:tcPr>
            <w:tcW w:w="5386" w:type="dxa"/>
            <w:hMerge w:val="restart"/>
            <w:vAlign w:val="center"/>
          </w:tcPr>
          <w:p>
            <w:pPr>
              <w:pStyle w:val="单元格样式2"/>
            </w:pPr>
            <w:r>
              <w:t xml:space="preserve">图书馆微信公众号、网站发布的信息量、点击量和评论量</w:t>
            </w:r>
          </w:p>
        </w:tc>
        <w:tc>
          <w:tcPr>
            <w:tcW w:w="0" w:type="auto"/>
            <w:hMerge/>
            <w:vAlign w:val="center"/>
          </w:tcPr>
          <w:p>
            <w:pPr/>
          </w:p>
        </w:tc>
        <w:tc>
          <w:tcPr>
            <w:tcW w:w="2268" w:type="dxa"/>
            <w:vAlign w:val="center"/>
          </w:tcPr>
          <w:p>
            <w:pPr>
              <w:pStyle w:val="单元格样式2"/>
            </w:pPr>
            <w:r>
              <w:t xml:space="preserve">&gt;10万次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免费开放率</w:t>
            </w:r>
          </w:p>
        </w:tc>
        <w:tc>
          <w:tcPr>
            <w:tcW w:w="5386" w:type="dxa"/>
            <w:hMerge w:val="restart"/>
            <w:vAlign w:val="center"/>
          </w:tcPr>
          <w:p>
            <w:pPr>
              <w:pStyle w:val="单元格样式2"/>
            </w:pPr>
            <w:r>
              <w:t xml:space="preserve">实际设置免费开放项目与上级要求比率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读者到馆率</w:t>
            </w:r>
          </w:p>
        </w:tc>
        <w:tc>
          <w:tcPr>
            <w:tcW w:w="5386" w:type="dxa"/>
            <w:hMerge w:val="restart"/>
            <w:vAlign w:val="center"/>
          </w:tcPr>
          <w:p>
            <w:pPr>
              <w:pStyle w:val="单元格样式2"/>
            </w:pPr>
            <w:r>
              <w:t xml:space="preserve">年度到馆读者人次与全区人口比率</w:t>
            </w:r>
          </w:p>
        </w:tc>
        <w:tc>
          <w:tcPr>
            <w:tcW w:w="0" w:type="auto"/>
            <w:hMerge/>
            <w:vAlign w:val="center"/>
          </w:tcPr>
          <w:p>
            <w:pPr/>
          </w:p>
        </w:tc>
        <w:tc>
          <w:tcPr>
            <w:tcW w:w="2268" w:type="dxa"/>
            <w:vAlign w:val="center"/>
          </w:tcPr>
          <w:p>
            <w:pPr>
              <w:pStyle w:val="单元格样式2"/>
            </w:pPr>
            <w:r>
              <w:t xml:space="preserve">&gt;35%</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3、丰南图书馆年度购书费绩效目标表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13020724P006CE6100288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丰南图书馆年度购书费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为满足全区人民阅读需求，充实更新区图书馆图书文献资源，2024年购书费共10万元。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1.合理分配成人图书、少儿图书、期刊购置比例，满足不同读者阅读需求，提升购置图书利用率，提高资金绩效指标。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图书购置量</w:t>
            </w:r>
          </w:p>
        </w:tc>
        <w:tc>
          <w:tcPr>
            <w:tcW w:w="5386" w:type="dxa"/>
            <w:hMerge w:val="restart"/>
            <w:vAlign w:val="center"/>
          </w:tcPr>
          <w:p>
            <w:pPr>
              <w:pStyle w:val="单元格样式2"/>
            </w:pPr>
            <w:r>
              <w:t xml:space="preserve">年度购置图书册数</w:t>
            </w:r>
          </w:p>
        </w:tc>
        <w:tc>
          <w:tcPr>
            <w:tcW w:w="0" w:type="auto"/>
            <w:hMerge/>
            <w:vAlign w:val="center"/>
          </w:tcPr>
          <w:p>
            <w:pPr/>
          </w:p>
        </w:tc>
        <w:tc>
          <w:tcPr>
            <w:tcW w:w="2268" w:type="dxa"/>
            <w:vAlign w:val="center"/>
          </w:tcPr>
          <w:p>
            <w:pPr>
              <w:pStyle w:val="单元格样式2"/>
            </w:pPr>
            <w:r>
              <w:t xml:space="preserve">≥0.1万册</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图书编目上架率</w:t>
            </w:r>
          </w:p>
        </w:tc>
        <w:tc>
          <w:tcPr>
            <w:tcW w:w="5386" w:type="dxa"/>
            <w:hMerge w:val="restart"/>
            <w:vAlign w:val="center"/>
          </w:tcPr>
          <w:p>
            <w:pPr>
              <w:pStyle w:val="单元格样式2"/>
            </w:pPr>
            <w:r>
              <w:t xml:space="preserve">年度编目上架的图书与全部采购图书比率</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图书编目上架时限  </w:t>
            </w:r>
          </w:p>
        </w:tc>
        <w:tc>
          <w:tcPr>
            <w:tcW w:w="5386" w:type="dxa"/>
            <w:hMerge w:val="restart"/>
            <w:vAlign w:val="center"/>
          </w:tcPr>
          <w:p>
            <w:pPr>
              <w:pStyle w:val="单元格样式2"/>
            </w:pPr>
            <w:r>
              <w:t xml:space="preserve">图书到馆后编目上架时间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各项开支严格控制在年度预算范围内</w:t>
            </w:r>
          </w:p>
        </w:tc>
        <w:tc>
          <w:tcPr>
            <w:tcW w:w="0" w:type="auto"/>
            <w:hMerge/>
            <w:vAlign w:val="center"/>
          </w:tcPr>
          <w:p>
            <w:pPr/>
          </w:p>
        </w:tc>
        <w:tc>
          <w:tcPr>
            <w:tcW w:w="2268" w:type="dxa"/>
            <w:vAlign w:val="center"/>
          </w:tcPr>
          <w:p>
            <w:pPr>
              <w:pStyle w:val="单元格样式2"/>
            </w:pPr>
            <w:r>
              <w:t xml:space="preserve">≤10万元</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读者到馆量</w:t>
            </w:r>
          </w:p>
        </w:tc>
        <w:tc>
          <w:tcPr>
            <w:tcW w:w="5386" w:type="dxa"/>
            <w:hMerge w:val="restart"/>
            <w:vAlign w:val="center"/>
          </w:tcPr>
          <w:p>
            <w:pPr>
              <w:pStyle w:val="单元格样式2"/>
            </w:pPr>
            <w:r>
              <w:t xml:space="preserve">年度读者到馆人次</w:t>
            </w:r>
          </w:p>
        </w:tc>
        <w:tc>
          <w:tcPr>
            <w:tcW w:w="0" w:type="auto"/>
            <w:hMerge/>
            <w:vAlign w:val="center"/>
          </w:tcPr>
          <w:p>
            <w:pPr/>
          </w:p>
        </w:tc>
        <w:tc>
          <w:tcPr>
            <w:tcW w:w="2268" w:type="dxa"/>
            <w:vAlign w:val="center"/>
          </w:tcPr>
          <w:p>
            <w:pPr>
              <w:pStyle w:val="单元格样式2"/>
            </w:pPr>
            <w:r>
              <w:t xml:space="preserve">≥20万人次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图书利用率</w:t>
            </w:r>
          </w:p>
        </w:tc>
        <w:tc>
          <w:tcPr>
            <w:tcW w:w="5386" w:type="dxa"/>
            <w:hMerge w:val="restart"/>
            <w:vAlign w:val="center"/>
          </w:tcPr>
          <w:p>
            <w:pPr>
              <w:pStyle w:val="单元格样式2"/>
            </w:pPr>
            <w:r>
              <w:t xml:space="preserve">年度图书外借册次与总藏量比率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好书推送</w:t>
            </w:r>
          </w:p>
        </w:tc>
        <w:tc>
          <w:tcPr>
            <w:tcW w:w="5386" w:type="dxa"/>
            <w:hMerge w:val="restart"/>
            <w:vAlign w:val="center"/>
          </w:tcPr>
          <w:p>
            <w:pPr>
              <w:pStyle w:val="单元格样式2"/>
            </w:pPr>
            <w:r>
              <w:t xml:space="preserve">每月通过各种渠道持续向读者推荐好书数量</w:t>
            </w:r>
          </w:p>
        </w:tc>
        <w:tc>
          <w:tcPr>
            <w:tcW w:w="0" w:type="auto"/>
            <w:hMerge/>
            <w:vAlign w:val="center"/>
          </w:tcPr>
          <w:p>
            <w:pPr/>
          </w:p>
        </w:tc>
        <w:tc>
          <w:tcPr>
            <w:tcW w:w="2268" w:type="dxa"/>
            <w:vAlign w:val="center"/>
          </w:tcPr>
          <w:p>
            <w:pPr>
              <w:pStyle w:val="单元格样式2"/>
            </w:pPr>
            <w:r>
              <w:t xml:space="preserve">≥10种</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4、提前下达2024年公共图书馆、美术馆、文化馆[站]免费开放补助资金（唐财教[2023]79号）绩效目标表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13020724P00R16C10010K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提前下达2024年公共图书馆、美术馆、文化馆[站]免费开放补助资金（唐财教[2023]79号）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10.80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10.80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用于图书馆文献资源借阅、检索与咨询，文化信息资源共享工程、各种展览、读者活动、公共电子阅览室服务及设备运行维护。预计2024年印刷费1.5万元，图创系统的各项运维及升级7万元，用于活动奖品、条幅、宣传牌、打字复印等、宣纸笔墨、展览条幅等2.3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1.完成宣传活动的宣传册印制和各种读书活动，图创系统的各项运维升级，保证正常运行，完成图书馆网络、借阅等系统升级，保持系统稳定运行。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网络故障率</w:t>
            </w:r>
          </w:p>
        </w:tc>
        <w:tc>
          <w:tcPr>
            <w:tcW w:w="5386" w:type="dxa"/>
            <w:hMerge w:val="restart"/>
            <w:vAlign w:val="center"/>
          </w:tcPr>
          <w:p>
            <w:pPr>
              <w:pStyle w:val="单元格样式2"/>
            </w:pPr>
            <w:r>
              <w:t xml:space="preserve">图书馆内部网络故障及所有电子设备比率</w:t>
            </w:r>
          </w:p>
        </w:tc>
        <w:tc>
          <w:tcPr>
            <w:tcW w:w="0" w:type="auto"/>
            <w:hMerge/>
            <w:vAlign w:val="center"/>
          </w:tcPr>
          <w:p>
            <w:pPr/>
          </w:p>
        </w:tc>
        <w:tc>
          <w:tcPr>
            <w:tcW w:w="2268" w:type="dxa"/>
            <w:vAlign w:val="center"/>
          </w:tcPr>
          <w:p>
            <w:pPr>
              <w:pStyle w:val="单元格样式2"/>
            </w:pPr>
            <w:r>
              <w:t xml:space="preserve">≤2%</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活动场次</w:t>
            </w:r>
          </w:p>
        </w:tc>
        <w:tc>
          <w:tcPr>
            <w:tcW w:w="5386" w:type="dxa"/>
            <w:hMerge w:val="restart"/>
            <w:vAlign w:val="center"/>
          </w:tcPr>
          <w:p>
            <w:pPr>
              <w:pStyle w:val="单元格样式2"/>
            </w:pPr>
            <w:r>
              <w:t xml:space="preserve">利用免费开放资金组织的阅读推广活动场次</w:t>
            </w:r>
          </w:p>
        </w:tc>
        <w:tc>
          <w:tcPr>
            <w:tcW w:w="0" w:type="auto"/>
            <w:hMerge/>
            <w:vAlign w:val="center"/>
          </w:tcPr>
          <w:p>
            <w:pPr/>
          </w:p>
        </w:tc>
        <w:tc>
          <w:tcPr>
            <w:tcW w:w="2268" w:type="dxa"/>
            <w:vAlign w:val="center"/>
          </w:tcPr>
          <w:p>
            <w:pPr>
              <w:pStyle w:val="单元格样式2"/>
            </w:pPr>
            <w:r>
              <w:t xml:space="preserve">&gt;10场</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电子设备有效利用</w:t>
            </w:r>
          </w:p>
        </w:tc>
        <w:tc>
          <w:tcPr>
            <w:tcW w:w="5386" w:type="dxa"/>
            <w:hMerge w:val="restart"/>
            <w:vAlign w:val="center"/>
          </w:tcPr>
          <w:p>
            <w:pPr>
              <w:pStyle w:val="单元格样式2"/>
            </w:pPr>
            <w:r>
              <w:t xml:space="preserve">电子设备故障修复时间</w:t>
            </w:r>
          </w:p>
        </w:tc>
        <w:tc>
          <w:tcPr>
            <w:tcW w:w="0" w:type="auto"/>
            <w:hMerge/>
            <w:vAlign w:val="center"/>
          </w:tcPr>
          <w:p>
            <w:pPr/>
          </w:p>
        </w:tc>
        <w:tc>
          <w:tcPr>
            <w:tcW w:w="2268" w:type="dxa"/>
            <w:vAlign w:val="center"/>
          </w:tcPr>
          <w:p>
            <w:pPr>
              <w:pStyle w:val="单元格样式2"/>
            </w:pPr>
            <w:r>
              <w:t xml:space="preserve">&lt;24小时</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各项开支严格控制在年度预算范围内</w:t>
            </w:r>
          </w:p>
        </w:tc>
        <w:tc>
          <w:tcPr>
            <w:tcW w:w="0" w:type="auto"/>
            <w:hMerge/>
            <w:vAlign w:val="center"/>
          </w:tcPr>
          <w:p>
            <w:pPr/>
          </w:p>
        </w:tc>
        <w:tc>
          <w:tcPr>
            <w:tcW w:w="2268" w:type="dxa"/>
            <w:vAlign w:val="center"/>
          </w:tcPr>
          <w:p>
            <w:pPr>
              <w:pStyle w:val="单元格样式2"/>
            </w:pPr>
            <w:r>
              <w:t xml:space="preserve">≤10.8万元</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网络关注度</w:t>
            </w:r>
          </w:p>
        </w:tc>
        <w:tc>
          <w:tcPr>
            <w:tcW w:w="5386" w:type="dxa"/>
            <w:hMerge w:val="restart"/>
            <w:vAlign w:val="center"/>
          </w:tcPr>
          <w:p>
            <w:pPr>
              <w:pStyle w:val="单元格样式2"/>
            </w:pPr>
            <w:r>
              <w:t xml:space="preserve">图书馆微信公众号、网站发布的信息量、点击量和评论量</w:t>
            </w:r>
          </w:p>
        </w:tc>
        <w:tc>
          <w:tcPr>
            <w:tcW w:w="0" w:type="auto"/>
            <w:hMerge/>
            <w:vAlign w:val="center"/>
          </w:tcPr>
          <w:p>
            <w:pPr/>
          </w:p>
        </w:tc>
        <w:tc>
          <w:tcPr>
            <w:tcW w:w="2268" w:type="dxa"/>
            <w:vAlign w:val="center"/>
          </w:tcPr>
          <w:p>
            <w:pPr>
              <w:pStyle w:val="单元格样式2"/>
            </w:pPr>
            <w:r>
              <w:t xml:space="preserve">≥10万次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免费开放率</w:t>
            </w:r>
          </w:p>
        </w:tc>
        <w:tc>
          <w:tcPr>
            <w:tcW w:w="5386" w:type="dxa"/>
            <w:hMerge w:val="restart"/>
            <w:vAlign w:val="center"/>
          </w:tcPr>
          <w:p>
            <w:pPr>
              <w:pStyle w:val="单元格样式2"/>
            </w:pPr>
            <w:r>
              <w:t xml:space="preserve">实际设置免费开放项目与上级要求比率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读者到馆率</w:t>
            </w:r>
          </w:p>
        </w:tc>
        <w:tc>
          <w:tcPr>
            <w:tcW w:w="5386" w:type="dxa"/>
            <w:hMerge w:val="restart"/>
            <w:vAlign w:val="center"/>
          </w:tcPr>
          <w:p>
            <w:pPr>
              <w:pStyle w:val="单元格样式2"/>
            </w:pPr>
            <w:r>
              <w:t xml:space="preserve">年度到馆读者人次与全区人口比率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5、提前下达2024年基层“三馆一站”免费开放省级补助资金(唐财教[2023]80号)绩效目标表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13020724P00R16C100098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提前下达2024年基层“三馆一站”免费开放省级补助资金(唐财教[2023]80号)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依据《河北省公共图书馆、美术馆、文化馆（站）免费开放专项资金管理暂行办法》，用于图书馆阅读区家具及馆内电子服务设备运行维护，业务活动用房小型修缮及零星业务设备更新等。预计2024年电子设备、及家具维修维护2万元，2024年预计支出2万元。</w:t>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100%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1.完成电子设备及家具维修，保证正常运行，保持系统稳定运行。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维修数量</w:t>
            </w:r>
          </w:p>
        </w:tc>
        <w:tc>
          <w:tcPr>
            <w:tcW w:w="5386" w:type="dxa"/>
            <w:hMerge w:val="restart"/>
            <w:vAlign w:val="center"/>
          </w:tcPr>
          <w:p>
            <w:pPr>
              <w:pStyle w:val="单元格样式2"/>
            </w:pPr>
            <w:r>
              <w:t xml:space="preserve">馆舍、家具等维修次数</w:t>
            </w:r>
          </w:p>
        </w:tc>
        <w:tc>
          <w:tcPr>
            <w:tcW w:w="0" w:type="auto"/>
            <w:hMerge/>
            <w:vAlign w:val="center"/>
          </w:tcPr>
          <w:p>
            <w:pPr/>
          </w:p>
        </w:tc>
        <w:tc>
          <w:tcPr>
            <w:tcW w:w="2268" w:type="dxa"/>
            <w:vAlign w:val="center"/>
          </w:tcPr>
          <w:p>
            <w:pPr>
              <w:pStyle w:val="单元格样式2"/>
            </w:pPr>
            <w:r>
              <w:t xml:space="preserve">≥1次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家具完好率</w:t>
            </w:r>
          </w:p>
        </w:tc>
        <w:tc>
          <w:tcPr>
            <w:tcW w:w="5386" w:type="dxa"/>
            <w:hMerge w:val="restart"/>
            <w:vAlign w:val="center"/>
          </w:tcPr>
          <w:p>
            <w:pPr>
              <w:pStyle w:val="单元格样式2"/>
            </w:pPr>
            <w:r>
              <w:t xml:space="preserve">正常使用的家具与所有家具比率</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各项开支严格控制在年度预算范围内</w:t>
            </w:r>
          </w:p>
        </w:tc>
        <w:tc>
          <w:tcPr>
            <w:tcW w:w="0" w:type="auto"/>
            <w:hMerge/>
            <w:vAlign w:val="center"/>
          </w:tcPr>
          <w:p>
            <w:pPr/>
          </w:p>
        </w:tc>
        <w:tc>
          <w:tcPr>
            <w:tcW w:w="2268" w:type="dxa"/>
            <w:vAlign w:val="center"/>
          </w:tcPr>
          <w:p>
            <w:pPr>
              <w:pStyle w:val="单元格样式2"/>
            </w:pPr>
            <w:r>
              <w:t xml:space="preserve">≤2万元</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维修及时率</w:t>
            </w:r>
          </w:p>
        </w:tc>
        <w:tc>
          <w:tcPr>
            <w:tcW w:w="5386" w:type="dxa"/>
            <w:hMerge w:val="restart"/>
            <w:vAlign w:val="center"/>
          </w:tcPr>
          <w:p>
            <w:pPr>
              <w:pStyle w:val="单元格样式2"/>
            </w:pPr>
            <w:r>
              <w:t xml:space="preserve">及时维修馆舍、家具等</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图书利用率</w:t>
            </w:r>
          </w:p>
        </w:tc>
        <w:tc>
          <w:tcPr>
            <w:tcW w:w="5386" w:type="dxa"/>
            <w:hMerge w:val="restart"/>
            <w:vAlign w:val="center"/>
          </w:tcPr>
          <w:p>
            <w:pPr>
              <w:pStyle w:val="单元格样式2"/>
            </w:pPr>
            <w:r>
              <w:t xml:space="preserve">年度图书外借册次与总藏量比率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免费开放率</w:t>
            </w:r>
          </w:p>
        </w:tc>
        <w:tc>
          <w:tcPr>
            <w:tcW w:w="5386" w:type="dxa"/>
            <w:hMerge w:val="restart"/>
            <w:vAlign w:val="center"/>
          </w:tcPr>
          <w:p>
            <w:pPr>
              <w:pStyle w:val="单元格样式2"/>
            </w:pPr>
            <w:r>
              <w:t xml:space="preserve">实际设置免费开放项目与上级要求比率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读者到馆率</w:t>
            </w:r>
          </w:p>
        </w:tc>
        <w:tc>
          <w:tcPr>
            <w:tcW w:w="5386" w:type="dxa"/>
            <w:hMerge w:val="restart"/>
            <w:vAlign w:val="center"/>
          </w:tcPr>
          <w:p>
            <w:pPr>
              <w:pStyle w:val="单元格样式2"/>
            </w:pPr>
            <w:r>
              <w:t xml:space="preserve">年度到馆读者人次与全区人口比率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6、图书馆读者书证押金清退绩效目标表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13020724P006CE6100307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图书馆读者书证押金清退</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唐山市丰南区社会信用体系建设领导小组办公室〈丰南区创建省级社会信用体系建设典型城市县级试点工作方案〉通知》（丰社信办发〔2023〕3号）要求，根据丰南区文旅局制定的《丰南区“信易阅”工作实施方案》，丰南区图书馆积极深化部署以读者积分制为主导的“信易阅”工作，其中免押金办证为核心内容，前期所收取读者证押金须及时退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1.读者证押金清退，是对丰南图书馆免费开放工作开拓新局面的一项重要举措，对全区便民、惠民的公共文化服务也有一定的推动作用，将产生良好的社会效益。</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图书外借量</w:t>
            </w:r>
          </w:p>
        </w:tc>
        <w:tc>
          <w:tcPr>
            <w:tcW w:w="5386" w:type="dxa"/>
            <w:hMerge w:val="restart"/>
            <w:vAlign w:val="center"/>
          </w:tcPr>
          <w:p>
            <w:pPr>
              <w:pStyle w:val="单元格样式2"/>
            </w:pPr>
            <w:r>
              <w:t xml:space="preserve">年度图书外借册次</w:t>
            </w:r>
          </w:p>
        </w:tc>
        <w:tc>
          <w:tcPr>
            <w:tcW w:w="0" w:type="auto"/>
            <w:hMerge/>
            <w:vAlign w:val="center"/>
          </w:tcPr>
          <w:p>
            <w:pPr/>
          </w:p>
        </w:tc>
        <w:tc>
          <w:tcPr>
            <w:tcW w:w="2268" w:type="dxa"/>
            <w:vAlign w:val="center"/>
          </w:tcPr>
          <w:p>
            <w:pPr>
              <w:pStyle w:val="单元格样式2"/>
            </w:pPr>
            <w:r>
              <w:t xml:space="preserve">≥20万册</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免费开放率</w:t>
            </w:r>
          </w:p>
        </w:tc>
        <w:tc>
          <w:tcPr>
            <w:tcW w:w="5386" w:type="dxa"/>
            <w:hMerge w:val="restart"/>
            <w:vAlign w:val="center"/>
          </w:tcPr>
          <w:p>
            <w:pPr>
              <w:pStyle w:val="单元格样式2"/>
            </w:pPr>
            <w:r>
              <w:t xml:space="preserve">实际设置免费开放项目与上级要求比率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读者书证押金到账时效性</w:t>
            </w:r>
          </w:p>
        </w:tc>
        <w:tc>
          <w:tcPr>
            <w:tcW w:w="5386" w:type="dxa"/>
            <w:hMerge w:val="restart"/>
            <w:vAlign w:val="center"/>
          </w:tcPr>
          <w:p>
            <w:pPr>
              <w:pStyle w:val="单元格样式2"/>
            </w:pPr>
            <w:r>
              <w:t xml:space="preserve">读者书证到账时间</w:t>
            </w:r>
          </w:p>
        </w:tc>
        <w:tc>
          <w:tcPr>
            <w:tcW w:w="0" w:type="auto"/>
            <w:hMerge/>
            <w:vAlign w:val="center"/>
          </w:tcPr>
          <w:p>
            <w:pPr/>
          </w:p>
        </w:tc>
        <w:tc>
          <w:tcPr>
            <w:tcW w:w="2268" w:type="dxa"/>
            <w:vAlign w:val="center"/>
          </w:tcPr>
          <w:p>
            <w:pPr>
              <w:pStyle w:val="单元格样式2"/>
            </w:pPr>
            <w:r>
              <w:t xml:space="preserve">≤15天</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各项开支严格控制在年度预算范围内</w:t>
            </w:r>
          </w:p>
        </w:tc>
        <w:tc>
          <w:tcPr>
            <w:tcW w:w="0" w:type="auto"/>
            <w:hMerge/>
            <w:vAlign w:val="center"/>
          </w:tcPr>
          <w:p>
            <w:pPr/>
          </w:p>
        </w:tc>
        <w:tc>
          <w:tcPr>
            <w:tcW w:w="2268" w:type="dxa"/>
            <w:vAlign w:val="center"/>
          </w:tcPr>
          <w:p>
            <w:pPr>
              <w:pStyle w:val="单元格样式2"/>
            </w:pPr>
            <w:r>
              <w:t xml:space="preserve">≤70万元</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读者到馆量</w:t>
            </w:r>
          </w:p>
        </w:tc>
        <w:tc>
          <w:tcPr>
            <w:tcW w:w="5386" w:type="dxa"/>
            <w:hMerge w:val="restart"/>
            <w:vAlign w:val="center"/>
          </w:tcPr>
          <w:p>
            <w:pPr>
              <w:pStyle w:val="单元格样式2"/>
            </w:pPr>
            <w:r>
              <w:t xml:space="preserve">年度读者到馆人次</w:t>
            </w:r>
          </w:p>
        </w:tc>
        <w:tc>
          <w:tcPr>
            <w:tcW w:w="0" w:type="auto"/>
            <w:hMerge/>
            <w:vAlign w:val="center"/>
          </w:tcPr>
          <w:p>
            <w:pPr/>
          </w:p>
        </w:tc>
        <w:tc>
          <w:tcPr>
            <w:tcW w:w="2268" w:type="dxa"/>
            <w:vAlign w:val="center"/>
          </w:tcPr>
          <w:p>
            <w:pPr>
              <w:pStyle w:val="单元格样式2"/>
            </w:pPr>
            <w:r>
              <w:t xml:space="preserve">≥20万人次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图书利用率</w:t>
            </w:r>
          </w:p>
        </w:tc>
        <w:tc>
          <w:tcPr>
            <w:tcW w:w="5386" w:type="dxa"/>
            <w:hMerge w:val="restart"/>
            <w:vAlign w:val="center"/>
          </w:tcPr>
          <w:p>
            <w:pPr>
              <w:pStyle w:val="单元格样式2"/>
            </w:pPr>
            <w:r>
              <w:t xml:space="preserve">年度图书外借册次与总藏量比率</w:t>
            </w:r>
          </w:p>
        </w:tc>
        <w:tc>
          <w:tcPr>
            <w:tcW w:w="0" w:type="auto"/>
            <w:hMerge/>
            <w:vAlign w:val="center"/>
          </w:tcPr>
          <w:p>
            <w:pPr/>
          </w:p>
        </w:tc>
        <w:tc>
          <w:tcPr>
            <w:tcW w:w="2268" w:type="dxa"/>
            <w:vAlign w:val="center"/>
          </w:tcPr>
          <w:p>
            <w:pPr>
              <w:pStyle w:val="单元格样式2"/>
            </w:pPr>
            <w:r>
              <w:t xml:space="preserve">≥30%</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7、图书馆学会业务交流学术研讨活动绩效目标表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13020724P006CE610029U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图书馆学会业务交流学术研讨活动</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0.40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0.40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用于参加文化部、中国图书馆学会、河北省图书馆学会、唐山市图书馆学会等各级各类图书馆专业学会的学术会议和培训，以及有关阅读研究推广机构、教育、计算机行业组织的有价值的、比较前沿的、符合我们特殊需求的相关会议及培训。2024年预计支出0.4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1.组织馆员参加上级文化行政部门及行业学会组织的专业学术会议，组织馆员参加本专业及关联专业培训，有效提升馆员业务素质。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参会参训人数</w:t>
            </w:r>
          </w:p>
        </w:tc>
        <w:tc>
          <w:tcPr>
            <w:tcW w:w="5386" w:type="dxa"/>
            <w:hMerge w:val="restart"/>
            <w:vAlign w:val="center"/>
          </w:tcPr>
          <w:p>
            <w:pPr>
              <w:pStyle w:val="单元格样式2"/>
            </w:pPr>
            <w:r>
              <w:t xml:space="preserve">年度内外出参加会议、培训的馆员数量</w:t>
            </w:r>
          </w:p>
        </w:tc>
        <w:tc>
          <w:tcPr>
            <w:tcW w:w="0" w:type="auto"/>
            <w:hMerge/>
            <w:vAlign w:val="center"/>
          </w:tcPr>
          <w:p>
            <w:pPr/>
          </w:p>
        </w:tc>
        <w:tc>
          <w:tcPr>
            <w:tcW w:w="2268" w:type="dxa"/>
            <w:vAlign w:val="center"/>
          </w:tcPr>
          <w:p>
            <w:pPr>
              <w:pStyle w:val="单元格样式2"/>
            </w:pPr>
            <w:r>
              <w:t xml:space="preserve">≥2人次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综合服务安全保障率</w:t>
            </w:r>
          </w:p>
        </w:tc>
        <w:tc>
          <w:tcPr>
            <w:tcW w:w="5386" w:type="dxa"/>
            <w:hMerge w:val="restart"/>
            <w:vAlign w:val="center"/>
          </w:tcPr>
          <w:p>
            <w:pPr>
              <w:pStyle w:val="单元格样式2"/>
            </w:pPr>
            <w:r>
              <w:t xml:space="preserve">服务整体提高</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馆员培训时效性</w:t>
            </w:r>
          </w:p>
        </w:tc>
        <w:tc>
          <w:tcPr>
            <w:tcW w:w="5386" w:type="dxa"/>
            <w:hMerge w:val="restart"/>
            <w:vAlign w:val="center"/>
          </w:tcPr>
          <w:p>
            <w:pPr>
              <w:pStyle w:val="单元格样式2"/>
            </w:pPr>
            <w:r>
              <w:t xml:space="preserve">根据业务发展需要，合理安排馆员培训</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单人次支出</w:t>
            </w:r>
          </w:p>
        </w:tc>
        <w:tc>
          <w:tcPr>
            <w:tcW w:w="5386" w:type="dxa"/>
            <w:hMerge w:val="restart"/>
            <w:vAlign w:val="center"/>
          </w:tcPr>
          <w:p>
            <w:pPr>
              <w:pStyle w:val="单元格样式2"/>
            </w:pPr>
            <w:r>
              <w:t xml:space="preserve">年度内外出参会参训馆员人均报销费用</w:t>
            </w:r>
          </w:p>
        </w:tc>
        <w:tc>
          <w:tcPr>
            <w:tcW w:w="0" w:type="auto"/>
            <w:hMerge/>
            <w:vAlign w:val="center"/>
          </w:tcPr>
          <w:p>
            <w:pPr/>
          </w:p>
        </w:tc>
        <w:tc>
          <w:tcPr>
            <w:tcW w:w="2268" w:type="dxa"/>
            <w:vAlign w:val="center"/>
          </w:tcPr>
          <w:p>
            <w:pPr>
              <w:pStyle w:val="单元格样式2"/>
            </w:pPr>
            <w:r>
              <w:t xml:space="preserve">≤0.25万元</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馆员服务素养</w:t>
            </w:r>
          </w:p>
        </w:tc>
        <w:tc>
          <w:tcPr>
            <w:tcW w:w="5386" w:type="dxa"/>
            <w:hMerge w:val="restart"/>
            <w:vAlign w:val="center"/>
          </w:tcPr>
          <w:p>
            <w:pPr>
              <w:pStyle w:val="单元格样式2"/>
            </w:pPr>
            <w:r>
              <w:t xml:space="preserve">年度内馆员遭举报、投诉次数</w:t>
            </w:r>
          </w:p>
        </w:tc>
        <w:tc>
          <w:tcPr>
            <w:tcW w:w="0" w:type="auto"/>
            <w:hMerge/>
            <w:vAlign w:val="center"/>
          </w:tcPr>
          <w:p>
            <w:pPr/>
          </w:p>
        </w:tc>
        <w:tc>
          <w:tcPr>
            <w:tcW w:w="2268" w:type="dxa"/>
            <w:vAlign w:val="center"/>
          </w:tcPr>
          <w:p>
            <w:pPr>
              <w:pStyle w:val="单元格样式2"/>
            </w:pPr>
            <w:r>
              <w:t xml:space="preserve">≤5次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馆员专业素质</w:t>
            </w:r>
          </w:p>
        </w:tc>
        <w:tc>
          <w:tcPr>
            <w:tcW w:w="5386" w:type="dxa"/>
            <w:hMerge w:val="restart"/>
            <w:vAlign w:val="center"/>
          </w:tcPr>
          <w:p>
            <w:pPr>
              <w:pStyle w:val="单元格样式2"/>
            </w:pPr>
            <w:r>
              <w:t xml:space="preserve">年度末图书馆系列助理馆员以上职称员工比例</w:t>
            </w:r>
          </w:p>
        </w:tc>
        <w:tc>
          <w:tcPr>
            <w:tcW w:w="0" w:type="auto"/>
            <w:hMerge/>
            <w:vAlign w:val="center"/>
          </w:tcPr>
          <w:p>
            <w:pPr/>
          </w:p>
        </w:tc>
        <w:tc>
          <w:tcPr>
            <w:tcW w:w="2268" w:type="dxa"/>
            <w:vAlign w:val="center"/>
          </w:tcPr>
          <w:p>
            <w:pPr>
              <w:pStyle w:val="单元格样式2"/>
            </w:pPr>
            <w:r>
              <w:t xml:space="preserve">≥60%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馆员学术素质</w:t>
            </w:r>
          </w:p>
        </w:tc>
        <w:tc>
          <w:tcPr>
            <w:tcW w:w="5386" w:type="dxa"/>
            <w:hMerge w:val="restart"/>
            <w:vAlign w:val="center"/>
          </w:tcPr>
          <w:p>
            <w:pPr>
              <w:pStyle w:val="单元格样式2"/>
            </w:pPr>
            <w:r>
              <w:t xml:space="preserve">年度内馆员发表、获奖案例、论文数量</w:t>
            </w:r>
          </w:p>
        </w:tc>
        <w:tc>
          <w:tcPr>
            <w:tcW w:w="0" w:type="auto"/>
            <w:hMerge/>
            <w:vAlign w:val="center"/>
          </w:tcPr>
          <w:p>
            <w:pPr/>
          </w:p>
        </w:tc>
        <w:tc>
          <w:tcPr>
            <w:tcW w:w="2268" w:type="dxa"/>
            <w:vAlign w:val="center"/>
          </w:tcPr>
          <w:p>
            <w:pPr>
              <w:pStyle w:val="单元格样式2"/>
            </w:pPr>
            <w:r>
              <w:t xml:space="preserve">≥2篇</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各种渠道读者调查对图书馆满意度者与调查总样本比率</w:t>
            </w:r>
          </w:p>
        </w:tc>
        <w:tc>
          <w:tcPr>
            <w:tcW w:w="0" w:type="auto"/>
            <w:hMerge/>
            <w:vAlign w:val="center"/>
          </w:tcPr>
          <w:p>
            <w:pPr/>
          </w:p>
        </w:tc>
        <w:tc>
          <w:tcPr>
            <w:tcW w:w="2268" w:type="dxa"/>
            <w:vAlign w:val="center"/>
          </w:tcPr>
          <w:p>
            <w:pPr>
              <w:pStyle w:val="单元格样式2"/>
            </w:pPr>
            <w:r>
              <w:t xml:space="preserve">≥85%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8、图书馆专项业务及文化活动、读书活动、流动服务年度经费绩效目标表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13020724P006CE610025D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图书馆专项业务及文化活动、读书活动、流动服务年度经费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7.76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7.76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2024年预计支出7.76万元，主要用于图书编目专用标签、读者证、条码、书标等的购买、劳动服、劳保用品、便民物品、应急药品及器具等0.5万元；活动奖品、条幅、宣纸及展览装裱等6.66万元；公众责任保险经费、入馆读者及馆员的意外伤害等年度保险理赔经费0.6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1.开展讲座、展览、阅读推广等公益性文化、读书活动，开展“书香丰南动车组”流动服务，积极引领社会阅读，推进专业提升、服务提升，推进全民阅读，完善服务体系建设。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活动场次</w:t>
            </w:r>
          </w:p>
        </w:tc>
        <w:tc>
          <w:tcPr>
            <w:tcW w:w="5386" w:type="dxa"/>
            <w:hMerge w:val="restart"/>
            <w:vAlign w:val="center"/>
          </w:tcPr>
          <w:p>
            <w:pPr>
              <w:pStyle w:val="单元格样式2"/>
            </w:pPr>
            <w:r>
              <w:t xml:space="preserve">年度开展各类公益活动场次</w:t>
            </w:r>
          </w:p>
        </w:tc>
        <w:tc>
          <w:tcPr>
            <w:tcW w:w="0" w:type="auto"/>
            <w:hMerge/>
            <w:vAlign w:val="center"/>
          </w:tcPr>
          <w:p>
            <w:pPr/>
          </w:p>
        </w:tc>
        <w:tc>
          <w:tcPr>
            <w:tcW w:w="2268" w:type="dxa"/>
            <w:vAlign w:val="center"/>
          </w:tcPr>
          <w:p>
            <w:pPr>
              <w:pStyle w:val="单元格样式2"/>
            </w:pPr>
            <w:r>
              <w:t xml:space="preserve">&gt;150场</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w:t>
            </w:r>
          </w:p>
        </w:tc>
        <w:tc>
          <w:tcPr>
            <w:tcW w:w="5386" w:type="dxa"/>
            <w:hMerge w:val="restart"/>
            <w:vAlign w:val="center"/>
          </w:tcPr>
          <w:p>
            <w:pPr>
              <w:pStyle w:val="单元格样式2"/>
            </w:pPr>
            <w:r>
              <w:t xml:space="preserve">各项支出严格控制在年度预算内</w:t>
            </w:r>
          </w:p>
        </w:tc>
        <w:tc>
          <w:tcPr>
            <w:tcW w:w="0" w:type="auto"/>
            <w:hMerge/>
            <w:vAlign w:val="center"/>
          </w:tcPr>
          <w:p>
            <w:pPr/>
          </w:p>
        </w:tc>
        <w:tc>
          <w:tcPr>
            <w:tcW w:w="2268" w:type="dxa"/>
            <w:vAlign w:val="center"/>
          </w:tcPr>
          <w:p>
            <w:pPr>
              <w:pStyle w:val="单元格样式2"/>
            </w:pPr>
            <w:r>
              <w:t xml:space="preserve">≤7.76万元</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活动开展时效性</w:t>
            </w:r>
          </w:p>
        </w:tc>
        <w:tc>
          <w:tcPr>
            <w:tcW w:w="5386" w:type="dxa"/>
            <w:hMerge w:val="restart"/>
            <w:vAlign w:val="center"/>
          </w:tcPr>
          <w:p>
            <w:pPr>
              <w:pStyle w:val="单元格样式2"/>
            </w:pPr>
            <w:r>
              <w:t xml:space="preserve">按照年度工作计划开展各类公益活动</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经费足额拨付率</w:t>
            </w:r>
          </w:p>
        </w:tc>
        <w:tc>
          <w:tcPr>
            <w:tcW w:w="5386" w:type="dxa"/>
            <w:hMerge w:val="restart"/>
            <w:vAlign w:val="center"/>
          </w:tcPr>
          <w:p>
            <w:pPr>
              <w:pStyle w:val="单元格样式2"/>
            </w:pPr>
            <w:r>
              <w:t xml:space="preserve">实际拨付数占应拨付数的比率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图书利用率</w:t>
            </w:r>
          </w:p>
        </w:tc>
        <w:tc>
          <w:tcPr>
            <w:tcW w:w="5386" w:type="dxa"/>
            <w:hMerge w:val="restart"/>
            <w:vAlign w:val="center"/>
          </w:tcPr>
          <w:p>
            <w:pPr>
              <w:pStyle w:val="单元格样式2"/>
            </w:pPr>
            <w:r>
              <w:t xml:space="preserve">年度图书外借册次与总藏量比率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网络关注度</w:t>
            </w:r>
          </w:p>
        </w:tc>
        <w:tc>
          <w:tcPr>
            <w:tcW w:w="5386" w:type="dxa"/>
            <w:hMerge w:val="restart"/>
            <w:vAlign w:val="center"/>
          </w:tcPr>
          <w:p>
            <w:pPr>
              <w:pStyle w:val="单元格样式2"/>
            </w:pPr>
            <w:r>
              <w:t xml:space="preserve">图书馆微信公众号、网站发布的信息量、点击量和评论量</w:t>
            </w:r>
          </w:p>
        </w:tc>
        <w:tc>
          <w:tcPr>
            <w:tcW w:w="0" w:type="auto"/>
            <w:hMerge/>
            <w:vAlign w:val="center"/>
          </w:tcPr>
          <w:p>
            <w:pPr/>
          </w:p>
        </w:tc>
        <w:tc>
          <w:tcPr>
            <w:tcW w:w="2268" w:type="dxa"/>
            <w:vAlign w:val="center"/>
          </w:tcPr>
          <w:p>
            <w:pPr>
              <w:pStyle w:val="单元格样式2"/>
            </w:pPr>
            <w:r>
              <w:t xml:space="preserve">&gt;10万次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读者到馆率</w:t>
            </w:r>
          </w:p>
        </w:tc>
        <w:tc>
          <w:tcPr>
            <w:tcW w:w="5386" w:type="dxa"/>
            <w:hMerge w:val="restart"/>
            <w:vAlign w:val="center"/>
          </w:tcPr>
          <w:p>
            <w:pPr>
              <w:pStyle w:val="单元格样式2"/>
            </w:pPr>
            <w:r>
              <w:t xml:space="preserve">年度到馆读者人次与全区人口比率</w:t>
            </w:r>
          </w:p>
        </w:tc>
        <w:tc>
          <w:tcPr>
            <w:tcW w:w="0" w:type="auto"/>
            <w:hMerge/>
            <w:vAlign w:val="center"/>
          </w:tcPr>
          <w:p>
            <w:pPr/>
          </w:p>
        </w:tc>
        <w:tc>
          <w:tcPr>
            <w:tcW w:w="2268" w:type="dxa"/>
            <w:vAlign w:val="center"/>
          </w:tcPr>
          <w:p>
            <w:pPr>
              <w:pStyle w:val="单元格样式2"/>
            </w:pPr>
            <w:r>
              <w:t xml:space="preserve">&gt;30%</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各种渠道读者调查对图书馆满意读者与调查总样本比率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9、网络系统及电子设备运行维护费绩效目标表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13020724P006CE6100261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网络系统及电子设备运行维护费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6.16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6.16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依据公共图书馆服务规范、河北省基本公共文化服务实施标准、县级图书馆评估标准，落实《公共图书馆法》关于优化服务的要求，落实河北省首批公共文化服务体系创建要求。2024年预计支出6.16万元，用于电子设备维修维护、技术升级、软件开发及小配件等1.888万元；光纤租赁费4.272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25%</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1.完成图书馆光纤租赁续费，保证网络系统正常运行。完成电子设备维护、技术升级、软件开发及小配件更换等，保证电子设备正常运行。</w:t>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电子设备完好率</w:t>
            </w:r>
          </w:p>
        </w:tc>
        <w:tc>
          <w:tcPr>
            <w:tcW w:w="5386" w:type="dxa"/>
            <w:hMerge w:val="restart"/>
            <w:vAlign w:val="center"/>
          </w:tcPr>
          <w:p>
            <w:pPr>
              <w:pStyle w:val="单元格样式2"/>
            </w:pPr>
            <w:r>
              <w:t xml:space="preserve">正常运行电子设备与所有电子设备比率</w:t>
            </w:r>
          </w:p>
        </w:tc>
        <w:tc>
          <w:tcPr>
            <w:tcW w:w="0" w:type="auto"/>
            <w:hMerge/>
            <w:vAlign w:val="center"/>
          </w:tcPr>
          <w:p>
            <w:pPr/>
          </w:p>
        </w:tc>
        <w:tc>
          <w:tcPr>
            <w:tcW w:w="2268" w:type="dxa"/>
            <w:vAlign w:val="center"/>
          </w:tcPr>
          <w:p>
            <w:pPr>
              <w:pStyle w:val="单元格样式2"/>
            </w:pPr>
            <w:r>
              <w:t xml:space="preserve">&gt;90%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保障工作需要情况</w:t>
            </w:r>
          </w:p>
        </w:tc>
        <w:tc>
          <w:tcPr>
            <w:tcW w:w="5386" w:type="dxa"/>
            <w:hMerge w:val="restart"/>
            <w:vAlign w:val="center"/>
          </w:tcPr>
          <w:p>
            <w:pPr>
              <w:pStyle w:val="单元格样式2"/>
            </w:pPr>
            <w:r>
              <w:t xml:space="preserve">保障各种软件的正常运行</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预算控制率</w:t>
            </w:r>
          </w:p>
        </w:tc>
        <w:tc>
          <w:tcPr>
            <w:tcW w:w="5386" w:type="dxa"/>
            <w:hMerge w:val="restart"/>
            <w:vAlign w:val="center"/>
          </w:tcPr>
          <w:p>
            <w:pPr>
              <w:pStyle w:val="单元格样式2"/>
            </w:pPr>
            <w:r>
              <w:t xml:space="preserve">各项开支严格控制在年度预算范围内</w:t>
            </w:r>
          </w:p>
        </w:tc>
        <w:tc>
          <w:tcPr>
            <w:tcW w:w="0" w:type="auto"/>
            <w:hMerge/>
            <w:vAlign w:val="center"/>
          </w:tcPr>
          <w:p>
            <w:pPr/>
          </w:p>
        </w:tc>
        <w:tc>
          <w:tcPr>
            <w:tcW w:w="2268" w:type="dxa"/>
            <w:vAlign w:val="center"/>
          </w:tcPr>
          <w:p>
            <w:pPr>
              <w:pStyle w:val="单元格样式2"/>
            </w:pPr>
            <w:r>
              <w:t xml:space="preserve">≤6.16万元</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网络故障率</w:t>
            </w:r>
          </w:p>
        </w:tc>
        <w:tc>
          <w:tcPr>
            <w:tcW w:w="5386" w:type="dxa"/>
            <w:hMerge w:val="restart"/>
            <w:vAlign w:val="center"/>
          </w:tcPr>
          <w:p>
            <w:pPr>
              <w:pStyle w:val="单元格样式2"/>
            </w:pPr>
            <w:r>
              <w:t xml:space="preserve">图书馆内部网络故障时长与全年时长比率</w:t>
            </w:r>
          </w:p>
        </w:tc>
        <w:tc>
          <w:tcPr>
            <w:tcW w:w="0" w:type="auto"/>
            <w:hMerge/>
            <w:vAlign w:val="center"/>
          </w:tcPr>
          <w:p>
            <w:pPr/>
          </w:p>
        </w:tc>
        <w:tc>
          <w:tcPr>
            <w:tcW w:w="2268" w:type="dxa"/>
            <w:vAlign w:val="center"/>
          </w:tcPr>
          <w:p>
            <w:pPr>
              <w:pStyle w:val="单元格样式2"/>
            </w:pPr>
            <w:r>
              <w:t xml:space="preserve">&lt;2%</w:t>
            </w:r>
          </w:p>
        </w:tc>
        <w:tc>
          <w:tcPr>
            <w:tcW w:w="1276" w:type="dxa"/>
            <w:vAlign w:val="center"/>
          </w:tcPr>
          <w:p>
            <w:pPr>
              <w:pStyle w:val="单元格样式2"/>
            </w:pPr>
            <w:r>
              <w:t xml:space="preserve">工作测算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经济效益指标</w:t>
            </w:r>
          </w:p>
        </w:tc>
        <w:tc>
          <w:tcPr>
            <w:tcW w:w="2835" w:type="dxa"/>
            <w:vAlign w:val="center"/>
          </w:tcPr>
          <w:p>
            <w:pPr>
              <w:pStyle w:val="单元格样式2"/>
            </w:pPr>
            <w:r>
              <w:t xml:space="preserve">资源获取快捷性</w:t>
            </w:r>
          </w:p>
        </w:tc>
        <w:tc>
          <w:tcPr>
            <w:tcW w:w="5386" w:type="dxa"/>
            <w:hMerge w:val="restart"/>
            <w:vAlign w:val="center"/>
          </w:tcPr>
          <w:p>
            <w:pPr>
              <w:pStyle w:val="单元格样式2"/>
            </w:pPr>
            <w:r>
              <w:t xml:space="preserve">提供流畅的网络环境，丰富的资源信息，简便的获取渠道</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网络关注度</w:t>
            </w:r>
          </w:p>
        </w:tc>
        <w:tc>
          <w:tcPr>
            <w:tcW w:w="5386" w:type="dxa"/>
            <w:hMerge w:val="restart"/>
            <w:vAlign w:val="center"/>
          </w:tcPr>
          <w:p>
            <w:pPr>
              <w:pStyle w:val="单元格样式2"/>
            </w:pPr>
            <w:r>
              <w:t xml:space="preserve">图书馆微信公众号、网站发布的信息量、点击量和评论量</w:t>
            </w:r>
          </w:p>
        </w:tc>
        <w:tc>
          <w:tcPr>
            <w:tcW w:w="0" w:type="auto"/>
            <w:hMerge/>
            <w:vAlign w:val="center"/>
          </w:tcPr>
          <w:p>
            <w:pPr/>
          </w:p>
        </w:tc>
        <w:tc>
          <w:tcPr>
            <w:tcW w:w="2268" w:type="dxa"/>
            <w:vAlign w:val="center"/>
          </w:tcPr>
          <w:p>
            <w:pPr>
              <w:pStyle w:val="单元格样式2"/>
            </w:pPr>
            <w:r>
              <w:t xml:space="preserve">&gt;10万次</w:t>
            </w:r>
          </w:p>
        </w:tc>
        <w:tc>
          <w:tcPr>
            <w:tcW w:w="1276" w:type="dxa"/>
            <w:vAlign w:val="center"/>
          </w:tcPr>
          <w:p>
            <w:pPr>
              <w:pStyle w:val="单元格样式2"/>
            </w:pPr>
            <w:r>
              <w:t xml:space="preserve">工作测算</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电子资源覆盖率</w:t>
            </w:r>
          </w:p>
        </w:tc>
        <w:tc>
          <w:tcPr>
            <w:tcW w:w="5386" w:type="dxa"/>
            <w:hMerge w:val="restart"/>
            <w:vAlign w:val="center"/>
          </w:tcPr>
          <w:p>
            <w:pPr>
              <w:pStyle w:val="单元格样式2"/>
            </w:pPr>
            <w:r>
              <w:t xml:space="preserve">图书馆电子资源在辖区乡镇覆盖率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工作测算</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读者满意率</w:t>
            </w:r>
          </w:p>
        </w:tc>
        <w:tc>
          <w:tcPr>
            <w:tcW w:w="5386" w:type="dxa"/>
            <w:hMerge w:val="restart"/>
            <w:vAlign w:val="center"/>
          </w:tcPr>
          <w:p>
            <w:pPr>
              <w:pStyle w:val="单元格样式2"/>
            </w:pPr>
            <w:r>
              <w:t xml:space="preserve">各种渠道读者调查对图书馆满意读者与调查总样本比率</w:t>
            </w:r>
          </w:p>
        </w:tc>
        <w:tc>
          <w:tcPr>
            <w:tcW w:w="0" w:type="auto"/>
            <w:hMerge/>
            <w:vAlign w:val="center"/>
          </w:tcPr>
          <w:p>
            <w:pPr/>
          </w:p>
        </w:tc>
        <w:tc>
          <w:tcPr>
            <w:tcW w:w="2268" w:type="dxa"/>
            <w:vAlign w:val="center"/>
          </w:tcPr>
          <w:p>
            <w:pPr>
              <w:pStyle w:val="单元格样式2"/>
            </w:pPr>
            <w:r>
              <w:t xml:space="preserve">&gt;85%</w:t>
            </w:r>
          </w:p>
        </w:tc>
        <w:tc>
          <w:tcPr>
            <w:tcW w:w="1276" w:type="dxa"/>
            <w:vAlign w:val="center"/>
          </w:tcPr>
          <w:p>
            <w:pPr>
              <w:pStyle w:val="单元格样式2"/>
            </w:pPr>
            <w:r>
              <w:t xml:space="preserve">工作测算</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唐山市丰南区图书馆本级上年末固定资产金额为2211.63万元（详见下表）。本年度拟购置固定资产总额为0.00万元，已按要求列入政府采购预算，详见政府采购预算表。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407001唐山市丰南区图书馆本级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2211.63</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3</w:t>
            </w:r>
          </w:p>
        </w:tc>
        <w:tc>
          <w:tcPr>
            <w:tcW w:w="2835" w:type="dxa"/>
            <w:vAlign w:val="center"/>
          </w:tcPr>
          <w:p>
            <w:pPr>
              <w:pStyle w:val="单元格样式4"/>
            </w:pPr>
            <w:r>
              <w:t xml:space="preserve">55.40</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r>
              <w:t xml:space="preserve">9</w:t>
            </w:r>
          </w:p>
        </w:tc>
        <w:tc>
          <w:tcPr>
            <w:tcW w:w="2835" w:type="dxa"/>
            <w:vAlign w:val="center"/>
          </w:tcPr>
          <w:p>
            <w:pPr>
              <w:pStyle w:val="单元格样式4"/>
            </w:pPr>
            <w:r>
              <w:t xml:space="preserve">522.07</w:t>
            </w: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1</w:t>
            </w:r>
          </w:p>
        </w:tc>
        <w:tc>
          <w:tcPr>
            <w:tcW w:w="2835" w:type="dxa"/>
            <w:vAlign w:val="center"/>
          </w:tcPr>
          <w:p>
            <w:pPr>
              <w:pStyle w:val="单元格样式4"/>
            </w:pPr>
            <w:r>
              <w:t xml:space="preserve">1634.16</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theme" Target="theme/theme1.xml" /><Relationship Id="rId28" Type="http://schemas.openxmlformats.org/officeDocument/2006/relationships/styles" Target="styles.xml" /><Relationship Id="rId29" Type="http://schemas.openxmlformats.org/officeDocument/2006/relationships/webSettings" Target="webSettings.xml" /><Relationship Id="rId3" Type="http://schemas.openxmlformats.org/officeDocument/2006/relationships/customXml" Target="../customXml/item3.xml" /><Relationship Id="rId30" Type="http://schemas.openxmlformats.org/officeDocument/2006/relationships/numbering" Target="numbering.xml" /><Relationship Id="rId31"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2024-02-19T09:38:11Z</dcterms:created>
  <dcterms:modified xsi:type="dcterms:W3CDTF">2024-02-19T01:38:11Z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2024-02-19T09:38:19Z</dcterms:created>
  <dcterms:modified xsi:type="dcterms:W3CDTF">2024-02-19T01:38:19Z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2024-02-19T09:38:19Z</dcterms:created>
  <dcterms:modified xsi:type="dcterms:W3CDTF">2024-02-19T01:38:19Z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2024-02-19T09:38:19Z</dcterms:created>
  <dcterms:modified xsi:type="dcterms:W3CDTF">2024-02-19T01:38:19Z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2024-02-19T09:38:20Z</dcterms:created>
  <dcterms:modified xsi:type="dcterms:W3CDTF">2024-02-19T01:38:20Z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2024-02-19T09:38:20Z</dcterms:created>
  <dcterms:modified xsi:type="dcterms:W3CDTF">2024-02-19T01:38:20Z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2024-02-19T09:38:20Z</dcterms:created>
  <dcterms:modified xsi:type="dcterms:W3CDTF">2024-02-19T01:38:20Z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2024-02-19T09:38:21Z</dcterms:created>
  <dcterms:modified xsi:type="dcterms:W3CDTF">2024-02-19T01:38:21Z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2024-02-19T09:38:15Z</dcterms:created>
  <dcterms:modified xsi:type="dcterms:W3CDTF">2024-02-19T01:38:15Z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2024-02-19T09:38:18Z</dcterms:created>
  <dcterms:modified xsi:type="dcterms:W3CDTF">2024-02-19T01:38:18Z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2024-02-19T09:38:18Z</dcterms:created>
  <dcterms:modified xsi:type="dcterms:W3CDTF">2024-02-19T01:38:18Z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2024-02-19T09:38:19Z</dcterms:created>
  <dcterms:modified xsi:type="dcterms:W3CDTF">2024-02-19T01:38:19Z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2024-02-19T09:38:21Z</dcterms:created>
  <dcterms:modified xsi:type="dcterms:W3CDTF">2024-02-19T01:38:23Z</dcterms:modified>
</cp:coreProperties>
</file>