
<file path=[Content_Types].xml><?xml version="1.0" encoding="utf-8"?>
<Types xmlns="http://schemas.openxmlformats.org/package/2006/content-types">
  <Default Extension="xml" ContentType="application/xml"/>
  <Default Extension="bin" ContentType="application/vnd.openxmlformats-officedocument.oleObject"/>
  <Default Extension="bmp" ContentType="image/bmp"/>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headerReference r:id="rId3" w:type="default"/>
          <w:pgSz w:w="11906" w:h="16838"/>
          <w:pgMar w:top="0" w:right="0" w:bottom="0" w:left="0" w:header="851" w:footer="992" w:gutter="0"/>
          <w:cols w:space="425" w:num="1"/>
          <w:titlePg/>
          <w:docGrid w:type="lines" w:linePitch="312" w:charSpace="0"/>
        </w:sectPr>
      </w:pPr>
      <w:r>
        <mc:AlternateContent>
          <mc:Choice Requires="wps">
            <w:drawing>
              <wp:anchor distT="0" distB="0" distL="114300" distR="114300" simplePos="0" relativeHeight="251664384" behindDoc="0" locked="0" layoutInCell="1" allowOverlap="1">
                <wp:simplePos x="0" y="0"/>
                <wp:positionH relativeFrom="column">
                  <wp:posOffset>1349375</wp:posOffset>
                </wp:positionH>
                <wp:positionV relativeFrom="paragraph">
                  <wp:posOffset>8808085</wp:posOffset>
                </wp:positionV>
                <wp:extent cx="5132705" cy="1015365"/>
                <wp:effectExtent l="0" t="0" r="0" b="0"/>
                <wp:wrapNone/>
                <wp:docPr id="1" name="文本框 10"/>
                <wp:cNvGraphicFramePr/>
                <a:graphic xmlns:a="http://schemas.openxmlformats.org/drawingml/2006/main">
                  <a:graphicData uri="http://schemas.microsoft.com/office/word/2010/wordprocessingShape">
                    <wps:wsp>
                      <wps:cNvSpPr txBox="1"/>
                      <wps:spPr>
                        <a:xfrm>
                          <a:off x="0" y="0"/>
                          <a:ext cx="5132705" cy="1015365"/>
                        </a:xfrm>
                        <a:prstGeom prst="rect">
                          <a:avLst/>
                        </a:prstGeom>
                        <a:noFill/>
                      </wps:spPr>
                      <wps:txbx>
                        <w:txbxContent>
                          <w:p>
                            <w:pPr>
                              <w:jc w:val="center"/>
                              <w:rPr>
                                <w:rFonts w:hint="eastAsia" w:ascii="楷体_GB2312" w:hAnsi="楷体_GB2312" w:eastAsia="楷体_GB2312" w:cs="楷体_GB2312"/>
                                <w:color w:val="000000" w:themeColor="text1"/>
                                <w:kern w:val="0"/>
                                <w:sz w:val="44"/>
                                <w:szCs w:val="4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二〇二〇年八月</w:t>
                            </w:r>
                          </w:p>
                        </w:txbxContent>
                      </wps:txbx>
                      <wps:bodyPr wrap="square" rtlCol="0">
                        <a:spAutoFit/>
                      </wps:bodyPr>
                    </wps:wsp>
                  </a:graphicData>
                </a:graphic>
              </wp:anchor>
            </w:drawing>
          </mc:Choice>
          <mc:Fallback>
            <w:pict>
              <v:shape id="文本框 10" o:spid="_x0000_s1026" o:spt="202" type="#_x0000_t202" style="position:absolute;left:0pt;margin-left:106.25pt;margin-top:693.55pt;height:79.95pt;width:404.15pt;z-index:251664384;mso-width-relative:page;mso-height-relative:page;" filled="f" stroked="f" coordsize="21600,21600" o:gfxdata="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i9lks2QAAAA4BAAAPAAAAAAAAAAEAIAAAACIAAABkcnMvZG93bnJldi54bWxQSwEC&#10;FAAUAAAACACHTuJAVbBkcboBAABfAwAADgAAAAAAAAABACAAAAAoAQAAZHJzL2Uyb0RvYy54bWxQ&#10;SwUGAAAAAAYABgBZAQAAVAUAAAAA&#10;">
                <v:fill on="f" focussize="0,0"/>
                <v:stroke on="f"/>
                <v:imagedata o:title=""/>
                <o:lock v:ext="edit" aspectratio="f"/>
                <v:textbox style="mso-fit-shape-to-text:t;">
                  <w:txbxContent>
                    <w:p>
                      <w:pPr>
                        <w:jc w:val="center"/>
                        <w:rPr>
                          <w:rFonts w:hint="eastAsia" w:ascii="楷体_GB2312" w:hAnsi="楷体_GB2312" w:eastAsia="楷体_GB2312" w:cs="楷体_GB2312"/>
                          <w:color w:val="000000" w:themeColor="text1"/>
                          <w:kern w:val="0"/>
                          <w:sz w:val="44"/>
                          <w:szCs w:val="4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二〇二〇年八月</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679450</wp:posOffset>
                </wp:positionH>
                <wp:positionV relativeFrom="paragraph">
                  <wp:posOffset>2952115</wp:posOffset>
                </wp:positionV>
                <wp:extent cx="1548765" cy="1548765"/>
                <wp:effectExtent l="0" t="0" r="13335" b="13335"/>
                <wp:wrapNone/>
                <wp:docPr id="9" name="椭圆 8"/>
                <wp:cNvGraphicFramePr/>
                <a:graphic xmlns:a="http://schemas.openxmlformats.org/drawingml/2006/main">
                  <a:graphicData uri="http://schemas.microsoft.com/office/word/2010/wordprocessingShape">
                    <wps:wsp>
                      <wps:cNvSpPr/>
                      <wps:spPr>
                        <a:xfrm>
                          <a:off x="0" y="0"/>
                          <a:ext cx="1548721" cy="154872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tlCol="0" anchor="ctr"/>
                    </wps:wsp>
                  </a:graphicData>
                </a:graphic>
              </wp:anchor>
            </w:drawing>
          </mc:Choice>
          <mc:Fallback>
            <w:pict>
              <v:shape id="椭圆 8" o:spid="_x0000_s1026" o:spt="3" type="#_x0000_t3" style="position:absolute;left:0pt;margin-left:53.5pt;margin-top:232.45pt;height:121.95pt;width:121.95pt;z-index:251661312;v-text-anchor:middle;mso-width-relative:page;mso-height-relative:page;" fillcolor="#FFFFFF [3212]" filled="t" stroked="f" coordsize="21600,21600" o:gfxdata="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slzntkAAAALAQAADwAAAAAAAAABACAAAAAiAAAAZHJzL2Rvd25yZXYueG1sUEsBAhQA&#10;FAAAAAgAh07iQKby8CnxAQAA1QMAAA4AAAAAAAAAAQAgAAAAKAEAAGRycy9lMm9Eb2MueG1sUEsF&#10;BgAAAAAGAAYAWQEAAIsFAAAAAA==&#10;">
                <v:fill on="t" focussize="0,0"/>
                <v:stroke on="f" weight="1pt"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426720</wp:posOffset>
                </wp:positionH>
                <wp:positionV relativeFrom="paragraph">
                  <wp:posOffset>3260725</wp:posOffset>
                </wp:positionV>
                <wp:extent cx="2040255" cy="883920"/>
                <wp:effectExtent l="0" t="0" r="0" b="0"/>
                <wp:wrapNone/>
                <wp:docPr id="15" name="矩形 14"/>
                <wp:cNvGraphicFramePr/>
                <a:graphic xmlns:a="http://schemas.openxmlformats.org/drawingml/2006/main">
                  <a:graphicData uri="http://schemas.microsoft.com/office/word/2010/wordprocessingShape">
                    <wps:wsp>
                      <wps:cNvSpPr/>
                      <wps:spPr>
                        <a:xfrm>
                          <a:off x="426720" y="3260725"/>
                          <a:ext cx="2040255" cy="883920"/>
                        </a:xfrm>
                        <a:prstGeom prst="rect">
                          <a:avLst/>
                        </a:prstGeom>
                      </wps:spPr>
                      <wps:txbx>
                        <w:txbxContent>
                          <w:p>
                            <w:pPr>
                              <w:spacing w:line="360" w:lineRule="auto"/>
                              <w:jc w:val="center"/>
                              <w:rPr>
                                <w:rFonts w:hint="default" w:eastAsiaTheme="minorEastAsia"/>
                                <w:kern w:val="0"/>
                                <w:sz w:val="28"/>
                                <w:szCs w:val="28"/>
                                <w:lang w:val="en-US" w:eastAsia="zh-CN"/>
                              </w:rPr>
                            </w:pPr>
                            <w:r>
                              <w:rPr>
                                <w:rFonts w:hint="eastAsia" w:ascii="Yu Gothic UI Semibold" w:hAnsi="Yu Gothic UI Semibold" w:eastAsia="宋体"/>
                                <w:color w:val="FFFFFF" w:themeColor="background1"/>
                                <w:kern w:val="24"/>
                                <w:sz w:val="72"/>
                                <w:szCs w:val="72"/>
                                <w:lang w:val="en-US" w:eastAsia="zh-CN"/>
                                <w14:textFill>
                                  <w14:solidFill>
                                    <w14:schemeClr w14:val="bg1"/>
                                  </w14:solidFill>
                                </w14:textFill>
                              </w:rPr>
                              <w:t>2019</w:t>
                            </w:r>
                          </w:p>
                        </w:txbxContent>
                      </wps:txbx>
                      <wps:bodyPr wrap="square">
                        <a:spAutoFit/>
                      </wps:bodyPr>
                    </wps:wsp>
                  </a:graphicData>
                </a:graphic>
              </wp:anchor>
            </w:drawing>
          </mc:Choice>
          <mc:Fallback>
            <w:pict>
              <v:rect id="矩形 14" o:spid="_x0000_s1026" o:spt="1" style="position:absolute;left:0pt;margin-left:33.6pt;margin-top:256.75pt;height:69.6pt;width:160.65pt;z-index:251666432;mso-width-relative:page;mso-height-relative:page;" filled="f" stroked="f" coordsize="21600,21600" o:gfxdata="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pV&#10;qbnZAAAACgEAAA8AAAAAAAAAAQAgAAAAIgAAAGRycy9kb3ducmV2LnhtbFBLAQIUABQAAAAIAIdO&#10;4kAgpHqbsAEAAEcDAAAOAAAAAAAAAAEAIAAAACgBAABkcnMvZTJvRG9jLnhtbFBLBQYAAAAABgAG&#10;AFkBAABKBQAAAAA=&#10;">
                <v:fill on="f" focussize="0,0"/>
                <v:stroke on="f"/>
                <v:imagedata o:title=""/>
                <o:lock v:ext="edit" aspectratio="f"/>
                <v:textbox style="mso-fit-shape-to-text:t;">
                  <w:txbxContent>
                    <w:p>
                      <w:pPr>
                        <w:spacing w:line="360" w:lineRule="auto"/>
                        <w:jc w:val="center"/>
                        <w:rPr>
                          <w:rFonts w:hint="default" w:eastAsiaTheme="minorEastAsia"/>
                          <w:kern w:val="0"/>
                          <w:sz w:val="28"/>
                          <w:szCs w:val="28"/>
                          <w:lang w:val="en-US" w:eastAsia="zh-CN"/>
                        </w:rPr>
                      </w:pPr>
                      <w:r>
                        <w:rPr>
                          <w:rFonts w:hint="eastAsia" w:ascii="Yu Gothic UI Semibold" w:hAnsi="Yu Gothic UI Semibold" w:eastAsia="宋体"/>
                          <w:color w:val="FFFFFF" w:themeColor="background1"/>
                          <w:kern w:val="24"/>
                          <w:sz w:val="72"/>
                          <w:szCs w:val="72"/>
                          <w:lang w:val="en-US" w:eastAsia="zh-CN"/>
                          <w14:textFill>
                            <w14:solidFill>
                              <w14:schemeClr w14:val="bg1"/>
                            </w14:solidFill>
                          </w14:textFill>
                        </w:rPr>
                        <w:t>2019</w:t>
                      </w:r>
                    </w:p>
                  </w:txbxContent>
                </v:textbox>
              </v:rect>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789940</wp:posOffset>
                </wp:positionH>
                <wp:positionV relativeFrom="paragraph">
                  <wp:posOffset>3082925</wp:posOffset>
                </wp:positionV>
                <wp:extent cx="1313815" cy="1313815"/>
                <wp:effectExtent l="0" t="0" r="635" b="635"/>
                <wp:wrapNone/>
                <wp:docPr id="10" name="椭圆 9"/>
                <wp:cNvGraphicFramePr/>
                <a:graphic xmlns:a="http://schemas.openxmlformats.org/drawingml/2006/main">
                  <a:graphicData uri="http://schemas.microsoft.com/office/word/2010/wordprocessingShape">
                    <wps:wsp>
                      <wps:cNvSpPr/>
                      <wps:spPr>
                        <a:xfrm>
                          <a:off x="789940" y="3082925"/>
                          <a:ext cx="1313815" cy="1313815"/>
                        </a:xfrm>
                        <a:prstGeom prst="ellipse">
                          <a:avLst/>
                        </a:prstGeom>
                        <a:solidFill>
                          <a:srgbClr val="1F29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tlCol="0" anchor="ctr"/>
                    </wps:wsp>
                  </a:graphicData>
                </a:graphic>
              </wp:anchor>
            </w:drawing>
          </mc:Choice>
          <mc:Fallback>
            <w:pict>
              <v:shape id="椭圆 9" o:spid="_x0000_s1026" o:spt="3" type="#_x0000_t3" style="position:absolute;left:0pt;margin-left:62.2pt;margin-top:242.75pt;height:103.45pt;width:103.45pt;z-index:251665408;v-text-anchor:middle;mso-width-relative:page;mso-height-relative:page;" fillcolor="#1F2959" filled="t" stroked="f" coordsize="21600,21600" o:gfxdata="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0Chgu2AAAAAsBAAAPAAAAAAAAAAEAIAAAACIAAABkcnMvZG93&#10;bnJldi54bWxQSwECFAAUAAAACACHTuJAVqRzUQACAADhAwAADgAAAAAAAAABACAAAAAnAQAAZHJz&#10;L2Uyb0RvYy54bWxQSwUGAAAAAAYABgBZAQAAmQUAAAAA&#10;">
                <v:fill on="t" focussize="0,0"/>
                <v:stroke on="f" weight="1pt" miterlimit="8" joinstyle="miter"/>
                <v:imagedata o:title=""/>
                <o:lock v:ext="edit" aspectratio="f"/>
                <v:textbox>
                  <w:txbxContent>
                    <w:p>
                      <w:pPr>
                        <w:jc w:val="center"/>
                      </w:pPr>
                    </w:p>
                  </w:txbxContent>
                </v:textbox>
              </v:shape>
            </w:pict>
          </mc:Fallback>
        </mc:AlternateContent>
      </w:r>
      <w:r>
        <w:rPr>
          <w:sz w:val="21"/>
        </w:rPr>
        <mc:AlternateContent>
          <mc:Choice Requires="wpg">
            <w:drawing>
              <wp:anchor distT="0" distB="0" distL="114300" distR="114300" simplePos="0" relativeHeight="251662336" behindDoc="0" locked="0" layoutInCell="1" allowOverlap="1">
                <wp:simplePos x="0" y="0"/>
                <wp:positionH relativeFrom="column">
                  <wp:posOffset>15875</wp:posOffset>
                </wp:positionH>
                <wp:positionV relativeFrom="paragraph">
                  <wp:posOffset>10435590</wp:posOffset>
                </wp:positionV>
                <wp:extent cx="7559675" cy="272415"/>
                <wp:effectExtent l="0" t="0" r="3175" b="13335"/>
                <wp:wrapNone/>
                <wp:docPr id="13" name="组合 13"/>
                <wp:cNvGraphicFramePr/>
                <a:graphic xmlns:a="http://schemas.openxmlformats.org/drawingml/2006/main">
                  <a:graphicData uri="http://schemas.microsoft.com/office/word/2010/wordprocessingGroup">
                    <wpg:wgp>
                      <wpg:cNvGrpSpPr/>
                      <wpg:grpSpPr>
                        <a:xfrm>
                          <a:off x="0" y="0"/>
                          <a:ext cx="7559675" cy="272415"/>
                          <a:chOff x="1483" y="16692"/>
                          <a:chExt cx="11905" cy="429"/>
                        </a:xfrm>
                      </wpg:grpSpPr>
                      <wps:wsp>
                        <wps:cNvPr id="7" name="矩形 6"/>
                        <wps:cNvSpPr/>
                        <wps:spPr>
                          <a:xfrm>
                            <a:off x="1483" y="16692"/>
                            <a:ext cx="1125" cy="428"/>
                          </a:xfrm>
                          <a:prstGeom prst="rect">
                            <a:avLst/>
                          </a:prstGeom>
                          <a:solidFill>
                            <a:srgbClr val="FDBC1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矩形 7"/>
                        <wps:cNvSpPr/>
                        <wps:spPr>
                          <a:xfrm>
                            <a:off x="2608" y="16693"/>
                            <a:ext cx="10780" cy="428"/>
                          </a:xfrm>
                          <a:prstGeom prst="rect">
                            <a:avLst/>
                          </a:prstGeom>
                          <a:solidFill>
                            <a:srgbClr val="1F295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26" o:spt="203" style="position:absolute;left:0pt;margin-left:1.25pt;margin-top:821.7pt;height:21.45pt;width:595.25pt;z-index:251662336;mso-width-relative:page;mso-height-relative:page;" coordorigin="1483,16692" coordsize="11905,429" o:gfxdata="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NNc&#10;nyXaAAAADAEAAA8AAAAAAAAAAQAgAAAAIgAAAGRycy9kb3ducmV2LnhtbFBLAQIUABQAAAAIAIdO&#10;4kDMoU7HkwIAAOQGAAAOAAAAAAAAAAEAIAAAACkBAABkcnMvZTJvRG9jLnhtbFBLBQYAAAAABgAG&#10;AFkBAAAuBgAAAAA=&#10;">
                <o:lock v:ext="edit" aspectratio="f"/>
                <v:rect id="矩形 6" o:spid="_x0000_s1026" o:spt="1" style="position:absolute;left:1483;top:16692;height:428;width:1125;v-text-anchor:middle;" fillcolor="#FDBC11" filled="t" stroked="f" coordsize="21600,21600" o:gfxdata="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k0zBvQAA&#10;ANo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rect id="矩形 7" o:spid="_x0000_s1026" o:spt="1" style="position:absolute;left:2608;top:16693;height:428;width:10780;v-text-anchor:middle;" fillcolor="#1F2959" filled="t" stroked="f" coordsize="21600,21600" o:gfxdata="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RMRQrUAAADaAAAADwAA&#10;AAAAAAABACAAAAAiAAAAZHJzL2Rvd25yZXYueG1sUEsBAhQAFAAAAAgAh07iQDMvBZ47AAAAOQAA&#10;ABAAAAAAAAAAAQAgAAAABAEAAGRycy9zaGFwZXhtbC54bWxQSwUGAAAAAAYABgBbAQAArgMAAAAA&#10;">
                  <v:fill on="t" focussize="0,0"/>
                  <v:stroke on="f" weight="1pt" miterlimit="8" joinstyle="miter"/>
                  <v:imagedata o:title=""/>
                  <o:lock v:ext="edit" aspectratio="f"/>
                </v:rect>
              </v:group>
            </w:pict>
          </mc:Fallback>
        </mc:AlternateContent>
      </w:r>
      <w:r>
        <w:rPr>
          <w:sz w:val="21"/>
        </w:rPr>
        <mc:AlternateContent>
          <mc:Choice Requires="wpg">
            <w:drawing>
              <wp:anchor distT="0" distB="0" distL="114300" distR="114300" simplePos="0" relativeHeight="251659264" behindDoc="1" locked="0" layoutInCell="1" allowOverlap="1">
                <wp:simplePos x="0" y="0"/>
                <wp:positionH relativeFrom="column">
                  <wp:posOffset>-31750</wp:posOffset>
                </wp:positionH>
                <wp:positionV relativeFrom="paragraph">
                  <wp:posOffset>0</wp:posOffset>
                </wp:positionV>
                <wp:extent cx="7623175" cy="4090670"/>
                <wp:effectExtent l="0" t="0" r="15875" b="0"/>
                <wp:wrapNone/>
                <wp:docPr id="4" name="组合 4"/>
                <wp:cNvGraphicFramePr/>
                <a:graphic xmlns:a="http://schemas.openxmlformats.org/drawingml/2006/main">
                  <a:graphicData uri="http://schemas.microsoft.com/office/word/2010/wordprocessingGroup">
                    <wpg:wgp>
                      <wpg:cNvGrpSpPr/>
                      <wpg:grpSpPr>
                        <a:xfrm>
                          <a:off x="0" y="0"/>
                          <a:ext cx="7623175" cy="4090670"/>
                          <a:chOff x="13622" y="283"/>
                          <a:chExt cx="12005" cy="6442"/>
                        </a:xfrm>
                      </wpg:grpSpPr>
                      <wps:wsp>
                        <wps:cNvPr id="6" name="矩形 5"/>
                        <wps:cNvSpPr/>
                        <wps:spPr>
                          <a:xfrm>
                            <a:off x="13622" y="283"/>
                            <a:ext cx="12005" cy="6170"/>
                          </a:xfrm>
                          <a:prstGeom prst="rect">
                            <a:avLst/>
                          </a:prstGeom>
                          <a:solidFill>
                            <a:srgbClr val="FDBC1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文本框 10"/>
                        <wps:cNvSpPr txBox="1"/>
                        <wps:spPr>
                          <a:xfrm>
                            <a:off x="17229" y="5021"/>
                            <a:ext cx="8083" cy="1704"/>
                          </a:xfrm>
                          <a:prstGeom prst="rect">
                            <a:avLst/>
                          </a:prstGeom>
                          <a:noFill/>
                        </wps:spPr>
                        <wps:txbx>
                          <w:txbxContent>
                            <w:p>
                              <w:pPr>
                                <w:jc w:val="left"/>
                                <w:rPr>
                                  <w:rFonts w:hint="default" w:eastAsiaTheme="minorEastAsia"/>
                                  <w:color w:val="000000" w:themeColor="text1"/>
                                  <w:kern w:val="0"/>
                                  <w:sz w:val="92"/>
                                  <w:szCs w:val="9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思源黑体 HW Bold" w:hAnsi="思源黑体 HW Bold" w:eastAsia="思源黑体 HW Bold"/>
                                  <w:color w:val="000000" w:themeColor="text1"/>
                                  <w:kern w:val="24"/>
                                  <w:sz w:val="92"/>
                                  <w:szCs w:val="9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部门决算公开文本</w:t>
                              </w:r>
                            </w:p>
                          </w:txbxContent>
                        </wps:txbx>
                        <wps:bodyPr wrap="square" rtlCol="0">
                          <a:spAutoFit/>
                        </wps:bodyPr>
                      </wps:wsp>
                    </wpg:wgp>
                  </a:graphicData>
                </a:graphic>
              </wp:anchor>
            </w:drawing>
          </mc:Choice>
          <mc:Fallback>
            <w:pict>
              <v:group id="_x0000_s1026" o:spid="_x0000_s1026" o:spt="203" style="position:absolute;left:0pt;margin-left:-2.5pt;margin-top:0pt;height:322.1pt;width:600.25pt;z-index:-251657216;mso-width-relative:page;mso-height-relative:page;" coordorigin="13622,283" coordsize="12005,6442" o:gfxdata="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DREfdfZ&#10;AAAACAEAAA8AAAAAAAAAAQAgAAAAIgAAAGRycy9kb3ducmV2LnhtbFBLAQIUABQAAAAIAIdO4kDQ&#10;ds0XygIAAH0GAAAOAAAAAAAAAAEAIAAAACgBAABkcnMvZTJvRG9jLnhtbFBLBQYAAAAABgAGAFkB&#10;AABkBgAAAAA=&#10;">
                <o:lock v:ext="edit" aspectratio="f"/>
                <v:rect id="矩形 5" o:spid="_x0000_s1026" o:spt="1" style="position:absolute;left:13622;top:283;height:6170;width:12005;v-text-anchor:middle;" fillcolor="#FDBC11" filled="t" stroked="f" coordsize="21600,21600" o:gfxdata="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f6Vq8AAAA&#10;2g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文本框 10" o:spid="_x0000_s1026" o:spt="202" type="#_x0000_t202" style="position:absolute;left:17229;top:5021;height:1704;width:8083;" filled="f" stroked="f" coordsize="21600,21600" o:gfxdata="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8kay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jc w:val="left"/>
                          <w:rPr>
                            <w:rFonts w:hint="default" w:eastAsiaTheme="minorEastAsia"/>
                            <w:color w:val="000000" w:themeColor="text1"/>
                            <w:kern w:val="0"/>
                            <w:sz w:val="92"/>
                            <w:szCs w:val="9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思源黑体 HW Bold" w:hAnsi="思源黑体 HW Bold" w:eastAsia="思源黑体 HW Bold"/>
                            <w:color w:val="000000" w:themeColor="text1"/>
                            <w:kern w:val="24"/>
                            <w:sz w:val="92"/>
                            <w:szCs w:val="9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部门决算公开文本</w:t>
                        </w:r>
                      </w:p>
                    </w:txbxContent>
                  </v:textbox>
                </v:shape>
              </v:group>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2346325</wp:posOffset>
                </wp:positionH>
                <wp:positionV relativeFrom="paragraph">
                  <wp:posOffset>3639820</wp:posOffset>
                </wp:positionV>
                <wp:extent cx="4313555" cy="396875"/>
                <wp:effectExtent l="0" t="0" r="0" b="0"/>
                <wp:wrapNone/>
                <wp:docPr id="12" name="矩形 11"/>
                <wp:cNvGraphicFramePr/>
                <a:graphic xmlns:a="http://schemas.openxmlformats.org/drawingml/2006/main">
                  <a:graphicData uri="http://schemas.microsoft.com/office/word/2010/wordprocessingShape">
                    <wps:wsp>
                      <wps:cNvSpPr/>
                      <wps:spPr>
                        <a:xfrm>
                          <a:off x="0" y="0"/>
                          <a:ext cx="4313555" cy="396875"/>
                        </a:xfrm>
                        <a:prstGeom prst="rect">
                          <a:avLst/>
                        </a:prstGeom>
                      </wps:spPr>
                      <wps:txbx>
                        <w:txbxContent>
                          <w:p/>
                        </w:txbxContent>
                      </wps:txbx>
                      <wps:bodyPr wrap="none">
                        <a:spAutoFit/>
                      </wps:bodyPr>
                    </wps:wsp>
                  </a:graphicData>
                </a:graphic>
              </wp:anchor>
            </w:drawing>
          </mc:Choice>
          <mc:Fallback>
            <w:pict>
              <v:rect id="矩形 11" o:spid="_x0000_s1026" o:spt="1" style="position:absolute;left:0pt;margin-left:184.75pt;margin-top:286.6pt;height:31.25pt;width:339.65pt;mso-wrap-style:none;z-index:251663360;mso-width-relative:page;mso-height-relative:page;" filled="f" stroked="f" coordsize="21600,21600" o:gfxdata="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WZBfR2wAAAAwBAAAP&#10;AAAAAAAAAAEAIAAAACIAAABkcnMvZG93bnJldi54bWxQSwECFAAUAAAACACHTuJABWT5JKMBAAA6&#10;AwAADgAAAAAAAAABACAAAAAqAQAAZHJzL2Uyb0RvYy54bWxQSwUGAAAAAAYABgBZAQAAPwUAAAAA&#10;">
                <v:fill on="f" focussize="0,0"/>
                <v:stroke on="f"/>
                <v:imagedata o:title=""/>
                <o:lock v:ext="edit" aspectratio="f"/>
                <v:textbox style="mso-fit-shape-to-text:t;">
                  <w:txbxContent>
                    <w:p/>
                  </w:txbxContent>
                </v:textbox>
              </v:rect>
            </w:pict>
          </mc:Fallback>
        </mc:AlternateContent>
      </w:r>
    </w:p>
    <w:p/>
    <w:p>
      <w:pPr>
        <w:jc w:val="center"/>
        <w:rPr>
          <w:rFonts w:hint="default" w:ascii="黑体" w:hAnsi="黑体" w:eastAsia="黑体" w:cs="黑体"/>
          <w:sz w:val="56"/>
          <w:szCs w:val="72"/>
          <w:lang w:val="en-US" w:eastAsia="zh-CN"/>
        </w:rPr>
      </w:pPr>
    </w:p>
    <w:p>
      <w:pPr>
        <w:jc w:val="center"/>
        <w:rPr>
          <w:rFonts w:hint="default" w:ascii="黑体" w:hAnsi="黑体" w:eastAsia="黑体" w:cs="黑体"/>
          <w:sz w:val="56"/>
          <w:szCs w:val="72"/>
          <w:lang w:val="en-US" w:eastAsia="zh-CN"/>
        </w:rPr>
      </w:pPr>
    </w:p>
    <w:p>
      <w:pPr>
        <w:rPr>
          <w:rFonts w:hint="eastAsia" w:ascii="黑体" w:hAnsi="Times New Roman" w:eastAsia="黑体" w:cs="Times New Roman"/>
          <w:sz w:val="48"/>
          <w:szCs w:val="48"/>
        </w:rPr>
      </w:pPr>
      <w:r>
        <w:rPr>
          <w:rFonts w:hint="eastAsia" w:ascii="黑体" w:hAnsi="Times New Roman" w:eastAsia="黑体" w:cs="Times New Roman"/>
          <w:sz w:val="48"/>
          <w:szCs w:val="48"/>
        </w:rPr>
        <w:br w:type="page"/>
      </w:r>
    </w:p>
    <w:p>
      <w:pPr>
        <w:tabs>
          <w:tab w:val="left" w:pos="2728"/>
        </w:tabs>
        <w:rPr>
          <w:rFonts w:hint="eastAsia" w:ascii="黑体" w:hAnsi="Times New Roman" w:eastAsia="黑体" w:cs="Times New Roman"/>
          <w:sz w:val="48"/>
          <w:szCs w:val="48"/>
        </w:rPr>
      </w:pP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w:t>
      </w:r>
      <w:r>
        <w:rPr>
          <w:rFonts w:hint="eastAsia" w:ascii="黑体" w:hAnsi="Times New Roman" w:eastAsia="黑体" w:cs="Times New Roman"/>
          <w:sz w:val="48"/>
          <w:szCs w:val="48"/>
          <w:lang w:val="en-US" w:eastAsia="zh-CN"/>
        </w:rPr>
        <w:t xml:space="preserve">    </w:t>
      </w:r>
      <w:r>
        <w:rPr>
          <w:rFonts w:hint="eastAsia" w:ascii="黑体" w:hAnsi="Times New Roman" w:eastAsia="黑体" w:cs="Times New Roman"/>
          <w:sz w:val="48"/>
          <w:szCs w:val="48"/>
        </w:rPr>
        <w:t>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hint="eastAsia" w:ascii="Times New Roman" w:hAnsi="Times New Roman" w:eastAsia="仿宋_GB2312" w:cs="Times New Roman"/>
          <w:sz w:val="32"/>
          <w:szCs w:val="32"/>
          <w:lang w:val="en-US" w:eastAsia="zh-CN"/>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lang w:val="en-US" w:eastAsia="zh-CN"/>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   201</w:t>
      </w:r>
      <w:r>
        <w:rPr>
          <w:rFonts w:hint="eastAsia" w:ascii="Times New Roman" w:hAnsi="Times New Roman" w:eastAsia="黑体" w:cs="Times New Roman"/>
          <w:sz w:val="32"/>
          <w:szCs w:val="32"/>
          <w:lang w:val="en-US" w:eastAsia="zh-CN"/>
        </w:rPr>
        <w:t>9</w:t>
      </w:r>
      <w:r>
        <w:rPr>
          <w:rFonts w:ascii="Times New Roman" w:hAnsi="Times New Roman" w:eastAsia="黑体" w:cs="Times New Roman"/>
          <w:sz w:val="32"/>
          <w:szCs w:val="32"/>
        </w:rPr>
        <w:t>年部门决算情况说明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五、一般公共预算</w:t>
      </w:r>
      <w:r>
        <w:rPr>
          <w:rFonts w:ascii="Times New Roman" w:hAnsi="Times New Roman" w:eastAsia="仿宋_GB2312" w:cs="Times New Roman"/>
          <w:sz w:val="32"/>
          <w:szCs w:val="32"/>
        </w:rPr>
        <w:t>“三公”经费支出决算情况说明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六</w:t>
      </w:r>
      <w:r>
        <w:rPr>
          <w:rFonts w:ascii="Times New Roman" w:hAnsi="Times New Roman" w:eastAsia="仿宋_GB2312" w:cs="Times New Roman"/>
          <w:sz w:val="32"/>
          <w:szCs w:val="32"/>
        </w:rPr>
        <w:t>、预算绩效情况说明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七</w:t>
      </w:r>
      <w:r>
        <w:rPr>
          <w:rFonts w:ascii="Times New Roman" w:hAnsi="Times New Roman" w:eastAsia="仿宋_GB2312" w:cs="Times New Roman"/>
          <w:sz w:val="32"/>
          <w:szCs w:val="32"/>
        </w:rPr>
        <w:t>、其他重要事项的说明</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第三部分</w:t>
      </w:r>
      <w:r>
        <w:rPr>
          <w:rFonts w:hint="eastAsia" w:ascii="Times New Roman" w:hAnsi="Times New Roman" w:eastAsia="黑体" w:cs="Times New Roman"/>
          <w:sz w:val="32"/>
          <w:szCs w:val="32"/>
          <w:lang w:val="en-US" w:eastAsia="zh-CN"/>
        </w:rPr>
        <w:t xml:space="preserve">  </w:t>
      </w:r>
      <w:r>
        <w:rPr>
          <w:rFonts w:ascii="Times New Roman" w:hAnsi="Times New Roman" w:eastAsia="黑体" w:cs="Times New Roman"/>
          <w:sz w:val="32"/>
          <w:szCs w:val="32"/>
        </w:rPr>
        <w:t>名词解释</w:t>
      </w:r>
    </w:p>
    <w:p>
      <w:pPr>
        <w:widowControl/>
        <w:spacing w:after="160" w:line="58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lang w:val="en-US" w:eastAsia="zh-CN"/>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lang w:val="en-US" w:eastAsia="zh-CN"/>
        </w:rPr>
        <w:t xml:space="preserve">  </w:t>
      </w:r>
      <w:r>
        <w:rPr>
          <w:rFonts w:ascii="Times New Roman" w:hAnsi="Times New Roman" w:eastAsia="黑体" w:cs="Times New Roman"/>
          <w:sz w:val="32"/>
          <w:szCs w:val="32"/>
        </w:rPr>
        <w:t>201</w:t>
      </w:r>
      <w:r>
        <w:rPr>
          <w:rFonts w:hint="eastAsia" w:ascii="Times New Roman" w:hAnsi="Times New Roman" w:eastAsia="黑体" w:cs="Times New Roman"/>
          <w:sz w:val="32"/>
          <w:szCs w:val="32"/>
          <w:lang w:val="en-US" w:eastAsia="zh-CN"/>
        </w:rPr>
        <w:t>9</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type w:val="continuous"/>
          <w:pgSz w:w="11906" w:h="16838"/>
          <w:pgMar w:top="2041" w:right="1531" w:bottom="2041" w:left="1531" w:header="851" w:footer="992" w:gutter="0"/>
          <w:cols w:space="0" w:num="1"/>
          <w:titlePg/>
          <w:rtlGutter w:val="0"/>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7456" behindDoc="0" locked="0" layoutInCell="1" allowOverlap="1">
                <wp:simplePos x="0" y="0"/>
                <wp:positionH relativeFrom="column">
                  <wp:posOffset>-1088390</wp:posOffset>
                </wp:positionH>
                <wp:positionV relativeFrom="paragraph">
                  <wp:posOffset>1024890</wp:posOffset>
                </wp:positionV>
                <wp:extent cx="7793355" cy="3341370"/>
                <wp:effectExtent l="6350" t="6350" r="10795" b="2413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chemeClr val="bg1"/>
                          </a:bgClr>
                        </a:pattFill>
                        <a:ln w="12700" cmpd="sng">
                          <a:solidFill>
                            <a:srgbClr val="FFD966"/>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hint="eastAsia" w:ascii="黑体" w:hAnsi="黑体" w:eastAsia="黑体" w:cs="黑体"/>
                                <w:color w:val="000000" w:themeColor="text1"/>
                                <w:sz w:val="96"/>
                                <w:szCs w:val="96"/>
                                <w:lang w:val="en-US"/>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67456;v-text-anchor:middle;mso-width-relative:page;mso-height-relative:page;" fillcolor="#FFD966" filled="t" stroked="t" coordsize="21600,21600" o:gfxdata="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EdhMyncAAAADQEA&#10;AA8AAAAAAAAAAQAgAAAAIgAAAGRycy9kb3ducmV2LnhtbFBLAQIUABQAAAAIAIdO4kAGP3EtiAIA&#10;AC0FAAAOAAAAAAAAAAEAIAAAACsBAABkcnMvZTJvRG9jLnhtbFBLBQYAAAAABgAGAFkBAAAlBgAA&#10;AAA=&#10;">
                <v:fill type="pattern" on="t" color2="#FFFFFF [3212]" o:title="5%" focussize="0,0" r:id="rId22"/>
                <v:stroke weight="1pt" color="#FFD966 [3204]" joinstyle="round"/>
                <v:imagedata o:title=""/>
                <o:lock v:ext="edit" aspectratio="f"/>
                <v:textbox>
                  <w:txbxContent>
                    <w:p>
                      <w:pPr>
                        <w:widowControl/>
                        <w:jc w:val="center"/>
                        <w:rPr>
                          <w:rFonts w:hint="eastAsia" w:ascii="黑体" w:hAnsi="黑体" w:eastAsia="黑体" w:cs="黑体"/>
                          <w:color w:val="000000" w:themeColor="text1"/>
                          <w:sz w:val="96"/>
                          <w:szCs w:val="96"/>
                          <w:lang w:val="en-US"/>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第一部分  部门概况</w:t>
                      </w:r>
                    </w:p>
                  </w:txbxContent>
                </v:textbox>
              </v:shape>
            </w:pict>
          </mc:Fallback>
        </mc:AlternateContent>
      </w:r>
      <w:r>
        <w:br w:type="page"/>
      </w:r>
    </w:p>
    <w:p>
      <w:pPr>
        <w:pStyle w:val="2"/>
        <w:keepNext/>
        <w:keepLines/>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ind w:firstLine="594" w:firstLineChars="198"/>
        <w:rPr>
          <w:rFonts w:ascii="仿宋_GB2312" w:hAnsi="Calibri" w:eastAsia="仿宋_GB2312" w:cs="ArialUnicodeMS"/>
          <w:kern w:val="0"/>
          <w:sz w:val="32"/>
          <w:szCs w:val="32"/>
        </w:rPr>
      </w:pPr>
      <w:r>
        <w:rPr>
          <w:rFonts w:hint="eastAsia" w:ascii="仿宋_GB2312" w:hAnsi="宋体" w:eastAsia="仿宋_GB2312"/>
          <w:sz w:val="30"/>
          <w:szCs w:val="30"/>
        </w:rPr>
        <w:t>保存、整理和传播书刊、文献信息资料、数字资源，组织阅读推广系列活动，构建全区阅读服务体系，开展社会教育，服务我区文明建设。</w:t>
      </w:r>
    </w:p>
    <w:p>
      <w:pPr>
        <w:keepNext/>
        <w:keepLines/>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outlineLvl w:val="0"/>
        <w:rPr>
          <w:rFonts w:hint="eastAsia" w:ascii="黑体" w:hAnsi="Calibri" w:eastAsia="黑体" w:cs="黑体"/>
          <w:b w:val="0"/>
          <w:bCs w:val="0"/>
          <w:kern w:val="0"/>
          <w:sz w:val="32"/>
          <w:szCs w:val="32"/>
          <w:lang w:val="en-US" w:eastAsia="zh-CN" w:bidi="ar-SA"/>
        </w:rPr>
      </w:pPr>
      <w:r>
        <w:rPr>
          <w:rFonts w:hint="eastAsia" w:ascii="黑体" w:hAnsi="Calibri" w:eastAsia="黑体" w:cs="黑体"/>
          <w:b w:val="0"/>
          <w:bCs w:val="0"/>
          <w:kern w:val="0"/>
          <w:sz w:val="32"/>
          <w:szCs w:val="32"/>
          <w:lang w:val="en-US" w:eastAsia="zh-CN" w:bidi="ar-SA"/>
        </w:rPr>
        <w:t>二、机构设置</w:t>
      </w:r>
    </w:p>
    <w:p>
      <w:pPr>
        <w:pageBreakBefore w:val="0"/>
        <w:kinsoku/>
        <w:wordWrap/>
        <w:overflowPunct/>
        <w:topLinePunct w:val="0"/>
        <w:autoSpaceDE/>
        <w:autoSpaceDN/>
        <w:bidi w:val="0"/>
        <w:adjustRightInd/>
        <w:snapToGrid/>
        <w:spacing w:line="580" w:lineRule="exact"/>
        <w:ind w:firstLine="640" w:firstLineChars="200"/>
        <w:textAlignment w:val="auto"/>
        <w:rPr>
          <w:rFonts w:hint="default" w:ascii="仿宋_GB2312" w:hAnsi="Calibri" w:eastAsia="仿宋_GB2312" w:cs="ArialUnicodeMS"/>
          <w:kern w:val="0"/>
          <w:sz w:val="32"/>
          <w:szCs w:val="32"/>
          <w:lang w:val="en-US" w:eastAsia="zh-CN"/>
        </w:rPr>
      </w:pPr>
      <w:r>
        <w:rPr>
          <w:rFonts w:hint="eastAsia" w:ascii="仿宋_GB2312" w:hAnsi="Calibri" w:eastAsia="仿宋_GB2312" w:cs="ArialUnicodeMS"/>
          <w:kern w:val="0"/>
          <w:sz w:val="32"/>
          <w:szCs w:val="32"/>
          <w:lang w:val="en-US" w:eastAsia="zh-CN"/>
        </w:rPr>
        <w:t>从决算编报单位构成看，纳入</w:t>
      </w:r>
      <w:r>
        <w:rPr>
          <w:rFonts w:hint="eastAsia" w:ascii="仿宋_GB2312" w:hAnsi="Calibri" w:eastAsia="仿宋_GB2312" w:cs="ArialUnicodeMS"/>
          <w:kern w:val="0"/>
          <w:sz w:val="32"/>
          <w:szCs w:val="32"/>
          <w:lang w:eastAsia="zh-CN"/>
        </w:rPr>
        <w:t>2019</w:t>
      </w:r>
      <w:r>
        <w:rPr>
          <w:rFonts w:hint="eastAsia" w:ascii="仿宋_GB2312" w:hAnsi="Calibri" w:eastAsia="仿宋_GB2312" w:cs="ArialUnicodeMS"/>
          <w:kern w:val="0"/>
          <w:sz w:val="32"/>
          <w:szCs w:val="32"/>
        </w:rPr>
        <w:t xml:space="preserve"> 年度本部门决算汇编范围的独立核算单位（以下简称“单位”）共</w:t>
      </w:r>
      <w:r>
        <w:rPr>
          <w:rFonts w:hint="eastAsia" w:ascii="仿宋_GB2312" w:hAnsi="Calibri" w:eastAsia="仿宋_GB2312" w:cs="ArialUnicodeMS"/>
          <w:kern w:val="0"/>
          <w:sz w:val="32"/>
          <w:szCs w:val="32"/>
          <w:lang w:val="en-US" w:eastAsia="zh-CN"/>
        </w:rPr>
        <w:t>1</w:t>
      </w:r>
      <w:r>
        <w:rPr>
          <w:rFonts w:hint="eastAsia" w:ascii="仿宋_GB2312" w:hAnsi="Calibri" w:eastAsia="仿宋_GB2312" w:cs="ArialUnicodeMS"/>
          <w:kern w:val="0"/>
          <w:sz w:val="32"/>
          <w:szCs w:val="32"/>
        </w:rPr>
        <w:t>个，</w:t>
      </w:r>
      <w:r>
        <w:rPr>
          <w:rFonts w:hint="eastAsia" w:ascii="仿宋_GB2312" w:hAnsi="Calibri" w:eastAsia="仿宋_GB2312" w:cs="ArialUnicodeMS"/>
          <w:kern w:val="0"/>
          <w:sz w:val="32"/>
          <w:szCs w:val="32"/>
          <w:lang w:val="en-US" w:eastAsia="zh-CN"/>
        </w:rPr>
        <w:t>具体情况如下：</w:t>
      </w:r>
    </w:p>
    <w:tbl>
      <w:tblPr>
        <w:tblStyle w:val="7"/>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hint="eastAsia" w:ascii="仿宋_GB2312" w:hAnsi="Calibri" w:eastAsia="仿宋_GB2312" w:cs="ArialUnicodeMS"/>
                <w:b/>
                <w:bCs/>
                <w:kern w:val="0"/>
                <w:sz w:val="28"/>
                <w:szCs w:val="28"/>
                <w:vertAlign w:val="baseline"/>
                <w:lang w:val="en-US" w:eastAsia="zh-CN"/>
              </w:rPr>
            </w:pPr>
            <w:r>
              <w:rPr>
                <w:rFonts w:hint="eastAsia" w:ascii="仿宋_GB2312" w:hAnsi="Calibri" w:eastAsia="仿宋_GB2312" w:cs="ArialUnicodeMS"/>
                <w:b/>
                <w:bCs/>
                <w:kern w:val="0"/>
                <w:sz w:val="28"/>
                <w:szCs w:val="28"/>
                <w:vertAlign w:val="baseline"/>
                <w:lang w:val="en-US" w:eastAsia="zh-CN"/>
              </w:rPr>
              <w:t>序号</w:t>
            </w:r>
          </w:p>
        </w:tc>
        <w:tc>
          <w:tcPr>
            <w:tcW w:w="3485" w:type="dxa"/>
            <w:vAlign w:val="center"/>
          </w:tcPr>
          <w:p>
            <w:pPr>
              <w:spacing w:after="0" w:line="560" w:lineRule="exact"/>
              <w:jc w:val="center"/>
              <w:rPr>
                <w:rFonts w:hint="eastAsia" w:ascii="仿宋_GB2312" w:hAnsi="Calibri" w:eastAsia="仿宋_GB2312" w:cs="ArialUnicodeMS"/>
                <w:b/>
                <w:bCs/>
                <w:kern w:val="0"/>
                <w:sz w:val="28"/>
                <w:szCs w:val="28"/>
                <w:vertAlign w:val="baseline"/>
                <w:lang w:val="en-US" w:eastAsia="zh-CN"/>
              </w:rPr>
            </w:pPr>
            <w:r>
              <w:rPr>
                <w:rFonts w:hint="eastAsia" w:ascii="仿宋_GB2312" w:hAnsi="Calibri" w:eastAsia="仿宋_GB2312" w:cs="ArialUnicodeMS"/>
                <w:b/>
                <w:bCs/>
                <w:kern w:val="0"/>
                <w:sz w:val="28"/>
                <w:szCs w:val="28"/>
                <w:vertAlign w:val="baseline"/>
                <w:lang w:val="en-US" w:eastAsia="zh-CN"/>
              </w:rPr>
              <w:t>单位名称</w:t>
            </w:r>
          </w:p>
        </w:tc>
        <w:tc>
          <w:tcPr>
            <w:tcW w:w="2445" w:type="dxa"/>
            <w:vAlign w:val="center"/>
          </w:tcPr>
          <w:p>
            <w:pPr>
              <w:spacing w:after="0" w:line="560" w:lineRule="exact"/>
              <w:jc w:val="center"/>
              <w:rPr>
                <w:rFonts w:hint="eastAsia" w:ascii="仿宋_GB2312" w:hAnsi="Calibri" w:eastAsia="仿宋_GB2312" w:cs="ArialUnicodeMS"/>
                <w:b/>
                <w:bCs/>
                <w:kern w:val="0"/>
                <w:sz w:val="28"/>
                <w:szCs w:val="28"/>
                <w:vertAlign w:val="baseline"/>
                <w:lang w:val="en-US" w:eastAsia="zh-CN"/>
              </w:rPr>
            </w:pPr>
            <w:r>
              <w:rPr>
                <w:rFonts w:hint="eastAsia" w:ascii="仿宋_GB2312" w:hAnsi="Calibri" w:eastAsia="仿宋_GB2312" w:cs="ArialUnicodeMS"/>
                <w:b/>
                <w:bCs/>
                <w:kern w:val="0"/>
                <w:sz w:val="28"/>
                <w:szCs w:val="28"/>
                <w:vertAlign w:val="baseline"/>
                <w:lang w:val="en-US" w:eastAsia="zh-CN"/>
              </w:rPr>
              <w:t>单位基本性质</w:t>
            </w:r>
          </w:p>
        </w:tc>
        <w:tc>
          <w:tcPr>
            <w:tcW w:w="2665" w:type="dxa"/>
            <w:vAlign w:val="center"/>
          </w:tcPr>
          <w:p>
            <w:pPr>
              <w:spacing w:after="0" w:line="560" w:lineRule="exact"/>
              <w:jc w:val="center"/>
              <w:rPr>
                <w:rFonts w:hint="eastAsia" w:ascii="仿宋_GB2312" w:hAnsi="Calibri" w:eastAsia="仿宋_GB2312" w:cs="ArialUnicodeMS"/>
                <w:b/>
                <w:bCs/>
                <w:kern w:val="0"/>
                <w:sz w:val="28"/>
                <w:szCs w:val="28"/>
                <w:vertAlign w:val="baseline"/>
                <w:lang w:val="en-US" w:eastAsia="zh-CN"/>
              </w:rPr>
            </w:pPr>
            <w:r>
              <w:rPr>
                <w:rFonts w:hint="eastAsia" w:ascii="仿宋_GB2312" w:hAnsi="Calibri" w:eastAsia="仿宋_GB2312" w:cs="ArialUnicodeMS"/>
                <w:b/>
                <w:bCs/>
                <w:kern w:val="0"/>
                <w:sz w:val="28"/>
                <w:szCs w:val="28"/>
                <w:vertAlign w:val="baseline"/>
                <w:lang w:val="en-US" w:eastAsia="zh-CN"/>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top"/>
          </w:tcPr>
          <w:p>
            <w:pPr>
              <w:spacing w:after="0" w:line="560" w:lineRule="exact"/>
              <w:jc w:val="center"/>
              <w:rPr>
                <w:rFonts w:hint="default" w:ascii="仿宋_GB2312" w:hAnsi="Calibri" w:eastAsia="仿宋_GB2312" w:cs="ArialUnicodeMS"/>
                <w:kern w:val="0"/>
                <w:sz w:val="28"/>
                <w:szCs w:val="28"/>
                <w:vertAlign w:val="baseline"/>
                <w:lang w:val="en-US" w:eastAsia="zh-CN"/>
              </w:rPr>
            </w:pPr>
            <w:r>
              <w:rPr>
                <w:rFonts w:hint="eastAsia" w:ascii="仿宋_GB2312" w:hAnsi="Calibri" w:eastAsia="仿宋_GB2312" w:cs="ArialUnicodeMS"/>
                <w:kern w:val="0"/>
                <w:sz w:val="28"/>
                <w:szCs w:val="28"/>
                <w:vertAlign w:val="baseline"/>
                <w:lang w:val="en-US" w:eastAsia="zh-CN"/>
              </w:rPr>
              <w:t>1</w:t>
            </w:r>
          </w:p>
        </w:tc>
        <w:tc>
          <w:tcPr>
            <w:tcW w:w="3485" w:type="dxa"/>
            <w:vAlign w:val="top"/>
          </w:tcPr>
          <w:p>
            <w:pPr>
              <w:spacing w:after="0" w:line="560" w:lineRule="exact"/>
              <w:rPr>
                <w:rFonts w:hint="default" w:ascii="仿宋_GB2312" w:hAnsi="Calibri" w:eastAsia="仿宋_GB2312" w:cs="ArialUnicodeMS"/>
                <w:kern w:val="0"/>
                <w:sz w:val="28"/>
                <w:szCs w:val="28"/>
                <w:vertAlign w:val="baseline"/>
                <w:lang w:val="en-US" w:eastAsia="zh-CN"/>
              </w:rPr>
            </w:pPr>
            <w:r>
              <w:rPr>
                <w:rFonts w:hint="eastAsia" w:ascii="仿宋_GB2312" w:hAnsi="Calibri" w:eastAsia="仿宋_GB2312" w:cs="ArialUnicodeMS"/>
                <w:kern w:val="0"/>
                <w:sz w:val="28"/>
                <w:szCs w:val="28"/>
                <w:vertAlign w:val="baseline"/>
                <w:lang w:val="en-US" w:eastAsia="zh-CN"/>
              </w:rPr>
              <w:t>唐山市丰南区图书馆</w:t>
            </w:r>
          </w:p>
        </w:tc>
        <w:tc>
          <w:tcPr>
            <w:tcW w:w="2445" w:type="dxa"/>
            <w:vAlign w:val="top"/>
          </w:tcPr>
          <w:p>
            <w:pPr>
              <w:spacing w:after="0" w:line="560" w:lineRule="exact"/>
              <w:jc w:val="center"/>
              <w:rPr>
                <w:rFonts w:hint="default" w:ascii="仿宋_GB2312" w:hAnsi="Calibri" w:eastAsia="仿宋_GB2312" w:cs="ArialUnicodeMS"/>
                <w:kern w:val="0"/>
                <w:sz w:val="28"/>
                <w:szCs w:val="28"/>
                <w:vertAlign w:val="baseline"/>
                <w:lang w:val="en-US" w:eastAsia="zh-CN"/>
              </w:rPr>
            </w:pPr>
            <w:r>
              <w:rPr>
                <w:rFonts w:hint="eastAsia" w:ascii="仿宋_GB2312" w:hAnsi="Calibri" w:eastAsia="仿宋_GB2312" w:cs="ArialUnicodeMS"/>
                <w:kern w:val="0"/>
                <w:sz w:val="28"/>
                <w:szCs w:val="28"/>
                <w:vertAlign w:val="baseline"/>
                <w:lang w:val="en-US" w:eastAsia="zh-CN"/>
              </w:rPr>
              <w:t>财政补助事业单位</w:t>
            </w:r>
          </w:p>
        </w:tc>
        <w:tc>
          <w:tcPr>
            <w:tcW w:w="2665" w:type="dxa"/>
            <w:vAlign w:val="top"/>
          </w:tcPr>
          <w:p>
            <w:pPr>
              <w:spacing w:after="0" w:line="560" w:lineRule="exact"/>
              <w:jc w:val="center"/>
              <w:rPr>
                <w:rFonts w:hint="eastAsia" w:ascii="仿宋_GB2312" w:hAnsi="Calibri" w:eastAsia="仿宋_GB2312" w:cs="ArialUnicodeMS"/>
                <w:kern w:val="0"/>
                <w:sz w:val="28"/>
                <w:szCs w:val="28"/>
                <w:vertAlign w:val="baseline"/>
                <w:lang w:eastAsia="zh-CN"/>
              </w:rPr>
            </w:pPr>
            <w:r>
              <w:rPr>
                <w:rFonts w:hint="eastAsia" w:ascii="仿宋_GB2312" w:hAnsi="Cambria" w:eastAsia="仿宋_GB2312" w:cs="ArialUnicodeMS"/>
                <w:kern w:val="0"/>
                <w:sz w:val="28"/>
                <w:szCs w:val="28"/>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vAlign w:val="top"/>
          </w:tcPr>
          <w:p>
            <w:pPr>
              <w:spacing w:after="0" w:line="560" w:lineRule="exact"/>
              <w:ind w:firstLine="560" w:firstLineChars="200"/>
              <w:jc w:val="left"/>
              <w:rPr>
                <w:rFonts w:hint="default" w:ascii="仿宋_GB2312" w:hAnsi="Calibri" w:eastAsia="仿宋_GB2312" w:cs="ArialUnicodeMS"/>
                <w:kern w:val="0"/>
                <w:sz w:val="28"/>
                <w:szCs w:val="28"/>
                <w:vertAlign w:val="baseline"/>
                <w:lang w:val="en-US" w:eastAsia="zh-CN"/>
              </w:rPr>
            </w:pP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sectPr>
          <w:footerReference r:id="rId10" w:type="first"/>
          <w:headerReference r:id="rId8" w:type="default"/>
          <w:footerReference r:id="rId9" w:type="default"/>
          <w:pgSz w:w="11906" w:h="16838"/>
          <w:pgMar w:top="2041" w:right="1531" w:bottom="2041" w:left="1531" w:header="851" w:footer="992" w:gutter="0"/>
          <w:pgNumType w:fmt="numberInDash" w:start="1"/>
          <w:cols w:space="0" w:num="1"/>
          <w:titlePg/>
          <w:rtlGutter w:val="0"/>
          <w:docGrid w:type="lines" w:linePitch="312" w:charSpace="0"/>
        </w:sectPr>
      </w:pPr>
    </w:p>
    <w:p>
      <w:pPr>
        <w:widowControl/>
        <w:spacing w:after="160" w:line="580" w:lineRule="exact"/>
        <w:ind w:firstLine="640" w:firstLineChars="200"/>
        <w:rPr>
          <w:rFonts w:ascii="Times New Roman" w:hAnsi="Times New Roman" w:eastAsia="黑体" w:cs="Times New Roman"/>
          <w:sz w:val="32"/>
          <w:szCs w:val="32"/>
        </w:rPr>
        <w:sectPr>
          <w:headerReference r:id="rId11" w:type="default"/>
          <w:type w:val="continuous"/>
          <w:pgSz w:w="11906" w:h="16838"/>
          <w:pgMar w:top="2041" w:right="1531" w:bottom="2041" w:left="1531" w:header="851" w:footer="992" w:gutter="0"/>
          <w:pgNumType w:fmt="numberInDash"/>
          <w:cols w:space="0" w:num="1"/>
          <w:titlePg/>
          <w:rtlGutter w:val="0"/>
          <w:docGrid w:type="lines" w:linePitch="312" w:charSpace="0"/>
        </w:sectPr>
      </w:pPr>
    </w:p>
    <w:p>
      <w:pPr>
        <w:widowControl/>
        <w:spacing w:after="160" w:line="580" w:lineRule="exact"/>
        <w:ind w:firstLine="1440" w:firstLineChars="200"/>
        <w:rPr>
          <w:rFonts w:ascii="Times New Roman" w:hAnsi="Times New Roman" w:eastAsia="黑体" w:cs="Times New Roman"/>
          <w:sz w:val="32"/>
          <w:szCs w:val="32"/>
        </w:rPr>
        <w:sectPr>
          <w:pgSz w:w="11906" w:h="16838"/>
          <w:pgMar w:top="2041" w:right="1531" w:bottom="2041" w:left="1531" w:header="851" w:footer="992" w:gutter="0"/>
          <w:pgNumType w:fmt="numberInDash"/>
          <w:cols w:space="0" w:num="1"/>
          <w:titlePg/>
          <w:rtlGutter w:val="0"/>
          <w:docGrid w:type="lines" w:linePitch="312" w:charSpace="0"/>
        </w:sectPr>
      </w:pPr>
      <w:r>
        <w:rPr>
          <w:sz w:val="72"/>
        </w:rPr>
        <mc:AlternateContent>
          <mc:Choice Requires="wps">
            <w:drawing>
              <wp:anchor distT="0" distB="0" distL="114300" distR="114300" simplePos="0" relativeHeight="251668480"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hint="eastAsia" w:ascii="黑体" w:hAnsi="黑体" w:eastAsia="黑体" w:cs="黑体"/>
                                <w:color w:val="000000" w:themeColor="text1"/>
                                <w:sz w:val="96"/>
                                <w:szCs w:val="96"/>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p>
                          <w:p>
                            <w:pPr>
                              <w:widowControl/>
                              <w:jc w:val="center"/>
                              <w:rPr>
                                <w:rFonts w:hint="eastAsia" w:ascii="黑体" w:hAnsi="黑体" w:eastAsia="黑体" w:cs="黑体"/>
                                <w:color w:val="000000" w:themeColor="text1"/>
                                <w:sz w:val="96"/>
                                <w:szCs w:val="96"/>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8480;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pPr>
                        <w:widowControl/>
                        <w:jc w:val="center"/>
                        <w:rPr>
                          <w:rFonts w:hint="eastAsia" w:ascii="黑体" w:hAnsi="黑体" w:eastAsia="黑体" w:cs="黑体"/>
                          <w:color w:val="000000" w:themeColor="text1"/>
                          <w:sz w:val="96"/>
                          <w:szCs w:val="96"/>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p>
                    <w:p>
                      <w:pPr>
                        <w:widowControl/>
                        <w:jc w:val="center"/>
                        <w:rPr>
                          <w:rFonts w:hint="eastAsia" w:ascii="黑体" w:hAnsi="黑体" w:eastAsia="黑体" w:cs="黑体"/>
                          <w:color w:val="000000" w:themeColor="text1"/>
                          <w:sz w:val="96"/>
                          <w:szCs w:val="96"/>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v:textbox>
              </v:shape>
            </w:pict>
          </mc:Fallback>
        </mc:AlternateContent>
      </w:r>
    </w:p>
    <w:p>
      <w:pPr>
        <w:widowControl/>
        <w:spacing w:line="580" w:lineRule="exact"/>
        <w:ind w:firstLine="640" w:firstLineChars="200"/>
        <w:rPr>
          <w:rFonts w:eastAsia="黑体"/>
          <w:sz w:val="32"/>
          <w:szCs w:val="32"/>
        </w:rPr>
      </w:pPr>
    </w:p>
    <w:p>
      <w:pPr>
        <w:jc w:val="center"/>
        <w:rPr>
          <w:rFonts w:hint="default" w:ascii="黑体" w:hAnsi="黑体" w:eastAsia="黑体" w:cs="黑体"/>
          <w:sz w:val="56"/>
          <w:szCs w:val="72"/>
          <w:lang w:val="en-US" w:eastAsia="zh-CN"/>
        </w:rPr>
      </w:pPr>
    </w:p>
    <w:p>
      <w:pPr>
        <w:jc w:val="center"/>
        <w:rPr>
          <w:rFonts w:hint="default" w:ascii="黑体" w:hAnsi="黑体" w:eastAsia="黑体" w:cs="黑体"/>
          <w:sz w:val="56"/>
          <w:szCs w:val="72"/>
          <w:lang w:val="en-US" w:eastAsia="zh-CN"/>
        </w:rPr>
      </w:pPr>
    </w:p>
    <w:p>
      <w:pPr>
        <w:jc w:val="center"/>
        <w:rPr>
          <w:rFonts w:hint="default" w:ascii="黑体" w:hAnsi="黑体" w:eastAsia="黑体" w:cs="黑体"/>
          <w:sz w:val="56"/>
          <w:szCs w:val="72"/>
          <w:lang w:val="en-US" w:eastAsia="zh-CN"/>
        </w:rPr>
      </w:pPr>
      <w:r>
        <w:rPr>
          <w:sz w:val="72"/>
        </w:rPr>
        <mc:AlternateContent>
          <mc:Choice Requires="wps">
            <w:drawing>
              <wp:anchor distT="0" distB="0" distL="114300" distR="114300" simplePos="0" relativeHeight="251670528" behindDoc="0" locked="0" layoutInCell="1" allowOverlap="1">
                <wp:simplePos x="0" y="0"/>
                <wp:positionH relativeFrom="column">
                  <wp:posOffset>-1153160</wp:posOffset>
                </wp:positionH>
                <wp:positionV relativeFrom="paragraph">
                  <wp:posOffset>55245</wp:posOffset>
                </wp:positionV>
                <wp:extent cx="7793355" cy="3341370"/>
                <wp:effectExtent l="4445" t="4445" r="12700" b="6985"/>
                <wp:wrapNone/>
                <wp:docPr id="187" name="文本框 187"/>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chemeClr val="bg1"/>
                          </a:bgClr>
                        </a:pattFill>
                        <a:ln w="6350">
                          <a:solidFill>
                            <a:srgbClr val="FFD966"/>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hint="eastAsia"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第二部分 </w:t>
                            </w:r>
                          </w:p>
                          <w:p>
                            <w:pPr>
                              <w:widowControl/>
                              <w:jc w:val="center"/>
                              <w:rPr>
                                <w:rFonts w:hint="default"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2019年部门决算情况说明</w:t>
                            </w:r>
                          </w:p>
                          <w:p>
                            <w:pPr>
                              <w:rPr>
                                <w:rFonts w:hint="eastAsia"/>
                                <w:lang w:val="en-US"/>
                                <w14:textOutline w14:w="9525">
                                  <w14:solidFill>
                                    <w14:schemeClr w14:val="tx1">
                                      <w14:lumMod w14:val="50000"/>
                                      <w14:lumOff w14:val="50000"/>
                                    </w14:schemeClr>
                                  </w14:solidFill>
                                  <w14:round/>
                                </w14:textOutline>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90.8pt;margin-top:4.35pt;height:263.1pt;width:613.65pt;z-index:251670528;v-text-anchor:middle;mso-width-relative:page;mso-height-relative:page;" fillcolor="#FFD966" filled="t" stroked="t" coordsize="21600,21600" o:gfxdata="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1B8+LaAAAACwEAAA8AAAAAAAAAAQAgAAAAIgAA&#10;AGRycy9kb3ducmV2LnhtbFBLAQIUABQAAAAIAIdO4kAd7gKxeAIAAAgFAAAOAAAAAAAAAAEAIAAA&#10;ACkBAABkcnMvZTJvRG9jLnhtbFBLBQYAAAAABgAGAFkBAAATBgAAAAA=&#10;">
                <v:fill type="pattern" on="t" color2="#FFFFFF [3212]" o:title="5%" focussize="0,0" r:id="rId22"/>
                <v:stroke weight="0.5pt" color="#FFD966 [3204]" joinstyle="round"/>
                <v:imagedata o:title=""/>
                <o:lock v:ext="edit" aspectratio="f"/>
                <v:textbox>
                  <w:txbxContent>
                    <w:p>
                      <w:pPr>
                        <w:widowControl/>
                        <w:jc w:val="center"/>
                        <w:rPr>
                          <w:rFonts w:hint="eastAsia"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第二部分 </w:t>
                      </w:r>
                    </w:p>
                    <w:p>
                      <w:pPr>
                        <w:widowControl/>
                        <w:jc w:val="center"/>
                        <w:rPr>
                          <w:rFonts w:hint="default"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2019年部门决算情况说明</w:t>
                      </w:r>
                    </w:p>
                    <w:p>
                      <w:pPr>
                        <w:rPr>
                          <w:rFonts w:hint="eastAsia"/>
                          <w:lang w:val="en-US"/>
                          <w14:textOutline w14:w="9525">
                            <w14:solidFill>
                              <w14:schemeClr w14:val="tx1">
                                <w14:lumMod w14:val="50000"/>
                                <w14:lumOff w14:val="50000"/>
                              </w14:schemeClr>
                            </w14:solidFill>
                            <w14:round/>
                          </w14:textOutline>
                        </w:rPr>
                      </w:pPr>
                    </w:p>
                  </w:txbxContent>
                </v:textbox>
              </v:shape>
            </w:pict>
          </mc:Fallback>
        </mc:AlternateContent>
      </w:r>
    </w:p>
    <w:p>
      <w:pPr>
        <w:jc w:val="center"/>
        <w:rPr>
          <w:rFonts w:hint="default" w:ascii="黑体" w:hAnsi="黑体" w:eastAsia="黑体" w:cs="黑体"/>
          <w:sz w:val="56"/>
          <w:szCs w:val="72"/>
          <w:lang w:val="en-US" w:eastAsia="zh-CN"/>
        </w:rPr>
      </w:pPr>
    </w:p>
    <w:p>
      <w:pPr>
        <w:jc w:val="center"/>
        <w:rPr>
          <w:rFonts w:hint="default" w:ascii="黑体" w:hAnsi="黑体" w:eastAsia="黑体" w:cs="黑体"/>
          <w:sz w:val="56"/>
          <w:szCs w:val="72"/>
          <w:lang w:val="en-US" w:eastAsia="zh-CN"/>
        </w:rPr>
      </w:pPr>
    </w:p>
    <w:p>
      <w:pPr>
        <w:jc w:val="center"/>
        <w:rPr>
          <w:rFonts w:hint="default" w:ascii="黑体" w:hAnsi="黑体" w:eastAsia="黑体" w:cs="黑体"/>
          <w:sz w:val="56"/>
          <w:szCs w:val="72"/>
          <w:lang w:val="en-US" w:eastAsia="zh-CN"/>
        </w:rPr>
      </w:pPr>
    </w:p>
    <w:p>
      <w:pPr>
        <w:jc w:val="center"/>
        <w:rPr>
          <w:rFonts w:hint="default" w:ascii="黑体" w:hAnsi="黑体" w:eastAsia="黑体" w:cs="黑体"/>
          <w:sz w:val="56"/>
          <w:szCs w:val="72"/>
          <w:lang w:val="en-US" w:eastAsia="zh-CN"/>
        </w:rPr>
      </w:pPr>
    </w:p>
    <w:p>
      <w:pPr>
        <w:jc w:val="center"/>
        <w:rPr>
          <w:rFonts w:hint="default" w:ascii="黑体" w:hAnsi="黑体" w:eastAsia="黑体" w:cs="黑体"/>
          <w:sz w:val="56"/>
          <w:szCs w:val="72"/>
          <w:lang w:val="en-US" w:eastAsia="zh-CN"/>
        </w:rPr>
      </w:pPr>
    </w:p>
    <w:p>
      <w:pPr>
        <w:jc w:val="center"/>
        <w:rPr>
          <w:rFonts w:hint="default" w:ascii="黑体" w:hAnsi="黑体" w:eastAsia="黑体" w:cs="黑体"/>
          <w:sz w:val="56"/>
          <w:szCs w:val="72"/>
          <w:lang w:val="en-US" w:eastAsia="zh-CN"/>
        </w:rPr>
      </w:pPr>
    </w:p>
    <w:p>
      <w:pPr>
        <w:jc w:val="center"/>
        <w:rPr>
          <w:rFonts w:hint="default" w:ascii="黑体" w:hAnsi="黑体" w:eastAsia="黑体" w:cs="黑体"/>
          <w:sz w:val="56"/>
          <w:szCs w:val="72"/>
          <w:lang w:val="en-US" w:eastAsia="zh-CN"/>
        </w:rPr>
      </w:pPr>
    </w:p>
    <w:p>
      <w:pPr>
        <w:jc w:val="center"/>
        <w:rPr>
          <w:rFonts w:hint="default" w:ascii="黑体" w:hAnsi="黑体" w:eastAsia="黑体" w:cs="黑体"/>
          <w:sz w:val="56"/>
          <w:szCs w:val="72"/>
          <w:lang w:val="en-US" w:eastAsia="zh-CN"/>
        </w:rPr>
      </w:pPr>
    </w:p>
    <w:p>
      <w:pPr>
        <w:jc w:val="center"/>
        <w:rPr>
          <w:rFonts w:hint="default" w:ascii="黑体" w:hAnsi="黑体" w:eastAsia="黑体" w:cs="黑体"/>
          <w:sz w:val="56"/>
          <w:szCs w:val="72"/>
          <w:lang w:val="en-US" w:eastAsia="zh-CN"/>
        </w:rPr>
      </w:pPr>
    </w:p>
    <w:p>
      <w:pPr>
        <w:keepNext/>
        <w:keepLines/>
        <w:pageBreakBefore w:val="0"/>
        <w:widowControl w:val="0"/>
        <w:kinsoku/>
        <w:wordWrap/>
        <w:overflowPunct/>
        <w:topLinePunct w:val="0"/>
        <w:autoSpaceDE/>
        <w:autoSpaceDN/>
        <w:bidi w:val="0"/>
        <w:snapToGrid w:val="0"/>
        <w:spacing w:line="580" w:lineRule="exact"/>
        <w:ind w:right="0" w:rightChars="0" w:firstLine="640" w:firstLineChars="200"/>
        <w:jc w:val="both"/>
        <w:textAlignment w:val="auto"/>
        <w:outlineLvl w:val="1"/>
        <w:rPr>
          <w:rFonts w:ascii="黑体" w:hAnsi="Calibri" w:eastAsia="黑体" w:cs="Times New Roman"/>
          <w:b w:val="0"/>
          <w:bCs w:val="0"/>
          <w:kern w:val="2"/>
          <w:sz w:val="32"/>
          <w:szCs w:val="32"/>
          <w:lang w:val="en-US" w:eastAsia="zh-CN" w:bidi="ar-SA"/>
        </w:rPr>
      </w:pPr>
      <w:r>
        <w:rPr>
          <w:rFonts w:hint="eastAsia" w:ascii="黑体" w:hAnsi="Calibri" w:eastAsia="黑体" w:cs="Times New Roman"/>
          <w:b w:val="0"/>
          <w:bCs w:val="0"/>
          <w:kern w:val="2"/>
          <w:sz w:val="32"/>
          <w:szCs w:val="32"/>
          <w:lang w:val="en-US" w:eastAsia="zh-CN" w:bidi="ar-SA"/>
        </w:rPr>
        <w:t>一、收入</w:t>
      </w:r>
      <w:r>
        <w:rPr>
          <w:rFonts w:hint="eastAsia" w:ascii="黑体" w:hAnsi="Cambria" w:eastAsia="黑体" w:cs="黑体"/>
          <w:b w:val="0"/>
          <w:bCs w:val="0"/>
          <w:kern w:val="0"/>
          <w:sz w:val="32"/>
          <w:szCs w:val="32"/>
          <w:lang w:val="en-US" w:eastAsia="zh-CN" w:bidi="ar-SA"/>
        </w:rPr>
        <w:t>支出</w:t>
      </w:r>
      <w:r>
        <w:rPr>
          <w:rFonts w:hint="eastAsia" w:ascii="黑体" w:hAnsi="Calibri" w:eastAsia="黑体" w:cs="Times New Roman"/>
          <w:b w:val="0"/>
          <w:bCs w:val="0"/>
          <w:kern w:val="2"/>
          <w:sz w:val="32"/>
          <w:szCs w:val="32"/>
          <w:lang w:val="en-US" w:eastAsia="zh-CN" w:bidi="ar-SA"/>
        </w:rPr>
        <w:t>决算总体情况说明</w:t>
      </w:r>
    </w:p>
    <w:p>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eastAsia="zh-CN"/>
        </w:rPr>
        <w:t>2019年</w:t>
      </w:r>
      <w:r>
        <w:rPr>
          <w:rFonts w:hint="eastAsia" w:ascii="仿宋_GB2312" w:hAnsi="Times New Roman" w:eastAsia="仿宋_GB2312" w:cs="DengXian-Regular"/>
          <w:sz w:val="32"/>
          <w:szCs w:val="32"/>
        </w:rPr>
        <w:t>度</w:t>
      </w:r>
      <w:r>
        <w:rPr>
          <w:rFonts w:hint="eastAsia" w:ascii="仿宋_GB2312" w:hAnsi="Times New Roman" w:eastAsia="仿宋_GB2312" w:cs="DengXian-Regular"/>
          <w:sz w:val="32"/>
          <w:szCs w:val="32"/>
          <w:lang w:val="en-US" w:eastAsia="zh-CN"/>
        </w:rPr>
        <w:t>收支总计（含</w:t>
      </w:r>
      <w:r>
        <w:rPr>
          <w:rFonts w:hint="eastAsia" w:ascii="仿宋_GB2312" w:hAnsi="Times New Roman" w:eastAsia="仿宋_GB2312" w:cs="DengXian-Regular"/>
          <w:sz w:val="32"/>
          <w:szCs w:val="32"/>
        </w:rPr>
        <w:t>结转和结余</w:t>
      </w:r>
      <w:r>
        <w:rPr>
          <w:rFonts w:hint="eastAsia" w:ascii="仿宋_GB2312" w:hAnsi="Times New Roman" w:eastAsia="仿宋_GB2312" w:cs="DengXian-Regular"/>
          <w:sz w:val="32"/>
          <w:szCs w:val="32"/>
          <w:lang w:eastAsia="zh-CN"/>
        </w:rPr>
        <w:t>）</w:t>
      </w:r>
      <w:r>
        <w:rPr>
          <w:rFonts w:hint="eastAsia" w:ascii="仿宋" w:hAnsi="仿宋" w:eastAsia="仿宋"/>
          <w:sz w:val="32"/>
          <w:szCs w:val="32"/>
          <w:lang w:val="en-US" w:eastAsia="zh-CN"/>
        </w:rPr>
        <w:t>488.13</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与</w:t>
      </w:r>
      <w:r>
        <w:rPr>
          <w:rFonts w:hint="eastAsia" w:ascii="仿宋_GB2312" w:hAnsi="Times New Roman" w:eastAsia="仿宋_GB2312" w:cs="DengXian-Regular"/>
          <w:sz w:val="32"/>
          <w:szCs w:val="32"/>
          <w:lang w:eastAsia="zh-CN"/>
        </w:rPr>
        <w:t>2018年</w:t>
      </w:r>
      <w:r>
        <w:rPr>
          <w:rFonts w:hint="eastAsia" w:ascii="仿宋_GB2312" w:hAnsi="Times New Roman" w:eastAsia="仿宋_GB2312" w:cs="DengXian-Regular"/>
          <w:sz w:val="32"/>
          <w:szCs w:val="32"/>
        </w:rPr>
        <w:t>度决算相比，</w:t>
      </w:r>
      <w:r>
        <w:rPr>
          <w:rFonts w:hint="eastAsia" w:ascii="仿宋_GB2312" w:hAnsi="Times New Roman" w:eastAsia="仿宋_GB2312" w:cs="DengXian-Regular"/>
          <w:sz w:val="32"/>
          <w:szCs w:val="32"/>
          <w:lang w:val="en-US" w:eastAsia="zh-CN"/>
        </w:rPr>
        <w:t>收支各增加5.47万元，增长1.12%，</w:t>
      </w:r>
      <w:r>
        <w:rPr>
          <w:rFonts w:hint="eastAsia" w:ascii="仿宋_GB2312" w:hAnsi="Times New Roman" w:eastAsia="仿宋_GB2312" w:cs="DengXian-Regular"/>
          <w:sz w:val="32"/>
          <w:szCs w:val="32"/>
        </w:rPr>
        <w:t>主要</w:t>
      </w:r>
      <w:r>
        <w:rPr>
          <w:rFonts w:hint="eastAsia" w:ascii="仿宋_GB2312" w:hAnsi="Times New Roman" w:eastAsia="仿宋_GB2312" w:cs="DengXian-Regular"/>
          <w:sz w:val="32"/>
          <w:szCs w:val="32"/>
          <w:lang w:val="en-US" w:eastAsia="zh-CN"/>
        </w:rPr>
        <w:t>原因</w:t>
      </w:r>
      <w:r>
        <w:rPr>
          <w:rFonts w:hint="eastAsia" w:ascii="仿宋_GB2312" w:hAnsi="Times New Roman" w:eastAsia="仿宋_GB2312" w:cs="DengXian-Regular"/>
          <w:sz w:val="32"/>
          <w:szCs w:val="32"/>
        </w:rPr>
        <w:t>是</w:t>
      </w:r>
      <w:r>
        <w:rPr>
          <w:rFonts w:hint="eastAsia" w:ascii="仿宋_GB2312" w:hAnsi="Times New Roman" w:eastAsia="仿宋_GB2312" w:cs="DengXian-Regular"/>
          <w:sz w:val="32"/>
          <w:szCs w:val="32"/>
          <w:lang w:val="en-US" w:eastAsia="zh-CN"/>
        </w:rPr>
        <w:t>人员经费增加</w:t>
      </w:r>
      <w:r>
        <w:rPr>
          <w:rFonts w:hint="eastAsia" w:ascii="仿宋_GB2312" w:hAnsi="Times New Roman" w:eastAsia="仿宋_GB2312" w:cs="DengXian-Regular"/>
          <w:sz w:val="32"/>
          <w:szCs w:val="32"/>
        </w:rPr>
        <w:t>。</w:t>
      </w:r>
    </w:p>
    <w:p>
      <w:pPr>
        <w:keepNext/>
        <w:keepLines/>
        <w:pageBreakBefore w:val="0"/>
        <w:widowControl w:val="0"/>
        <w:kinsoku/>
        <w:wordWrap/>
        <w:overflowPunct/>
        <w:topLinePunct w:val="0"/>
        <w:autoSpaceDE/>
        <w:autoSpaceDN/>
        <w:bidi w:val="0"/>
        <w:snapToGrid w:val="0"/>
        <w:spacing w:line="580" w:lineRule="exact"/>
        <w:ind w:right="0" w:rightChars="0" w:firstLine="640" w:firstLineChars="200"/>
        <w:jc w:val="both"/>
        <w:textAlignment w:val="auto"/>
        <w:outlineLvl w:val="1"/>
        <w:rPr>
          <w:rFonts w:ascii="黑体" w:hAnsi="Calibri" w:eastAsia="黑体" w:cs="Times New Roman"/>
          <w:b w:val="0"/>
          <w:bCs w:val="0"/>
          <w:kern w:val="2"/>
          <w:sz w:val="32"/>
          <w:szCs w:val="32"/>
          <w:lang w:val="en-US" w:eastAsia="zh-CN" w:bidi="ar-SA"/>
        </w:rPr>
      </w:pPr>
      <w:r>
        <w:rPr>
          <w:rFonts w:hint="eastAsia" w:ascii="黑体" w:hAnsi="Calibri" w:eastAsia="黑体" w:cs="Times New Roman"/>
          <w:b w:val="0"/>
          <w:bCs w:val="0"/>
          <w:kern w:val="2"/>
          <w:sz w:val="32"/>
          <w:szCs w:val="32"/>
          <w:lang w:val="en-US" w:eastAsia="zh-CN" w:bidi="ar-SA"/>
        </w:rPr>
        <w:t>二、收入决算情况说明</w:t>
      </w:r>
    </w:p>
    <w:p>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hint="default" w:ascii="仿宋_GB2312" w:hAnsi="Times New Roman" w:eastAsia="仿宋_GB2312" w:cs="DengXian-Regular"/>
          <w:sz w:val="32"/>
          <w:szCs w:val="32"/>
          <w:lang w:val="en-US" w:eastAsia="zh-CN"/>
        </w:rPr>
      </w:pP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eastAsia="zh-CN"/>
        </w:rPr>
        <w:t>2019年</w:t>
      </w:r>
      <w:r>
        <w:rPr>
          <w:rFonts w:hint="eastAsia" w:ascii="仿宋_GB2312" w:hAnsi="Times New Roman" w:eastAsia="仿宋_GB2312" w:cs="DengXian-Regular"/>
          <w:sz w:val="32"/>
          <w:szCs w:val="32"/>
        </w:rPr>
        <w:t>度本年收入合计</w:t>
      </w:r>
      <w:r>
        <w:rPr>
          <w:rFonts w:hint="eastAsia" w:ascii="仿宋" w:hAnsi="仿宋" w:eastAsia="仿宋"/>
          <w:sz w:val="32"/>
          <w:szCs w:val="32"/>
          <w:lang w:val="en-US" w:eastAsia="zh-CN"/>
        </w:rPr>
        <w:t>525.74</w:t>
      </w:r>
      <w:r>
        <w:rPr>
          <w:rFonts w:hint="eastAsia" w:ascii="仿宋_GB2312" w:hAnsi="Times New Roman" w:eastAsia="仿宋_GB2312" w:cs="DengXian-Regular"/>
          <w:sz w:val="32"/>
          <w:szCs w:val="32"/>
        </w:rPr>
        <w:t>万元，其中：财政拨款收入</w:t>
      </w:r>
      <w:r>
        <w:rPr>
          <w:rFonts w:hint="eastAsia" w:ascii="仿宋_GB2312" w:hAnsi="Times New Roman" w:eastAsia="仿宋_GB2312" w:cs="DengXian-Regular"/>
          <w:sz w:val="32"/>
          <w:szCs w:val="32"/>
          <w:lang w:val="en-US" w:eastAsia="zh-CN"/>
        </w:rPr>
        <w:t>525.24</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99.8</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lang w:val="en-US" w:eastAsia="zh-CN"/>
        </w:rPr>
        <w:t>其他收入0.5万元，占0.2%。如图所示：</w:t>
      </w:r>
    </w:p>
    <w:p>
      <w:pPr>
        <w:pageBreakBefore w:val="0"/>
        <w:widowControl w:val="0"/>
        <w:kinsoku/>
        <w:wordWrap/>
        <w:overflowPunct/>
        <w:topLinePunct w:val="0"/>
        <w:autoSpaceDE/>
        <w:autoSpaceDN/>
        <w:bidi w:val="0"/>
        <w:adjustRightInd w:val="0"/>
        <w:snapToGrid w:val="0"/>
        <w:spacing w:line="580" w:lineRule="exact"/>
        <w:ind w:right="0" w:rightChars="0" w:firstLine="420" w:firstLineChars="200"/>
        <w:textAlignment w:val="auto"/>
        <w:rPr>
          <w:rFonts w:hint="eastAsia" w:ascii="仿宋_GB2312" w:hAnsi="Times New Roman" w:eastAsia="仿宋_GB2312" w:cs="DengXian-Regular"/>
          <w:sz w:val="32"/>
          <w:szCs w:val="32"/>
          <w:lang w:eastAsia="zh-CN"/>
        </w:rPr>
      </w:pPr>
      <w:r>
        <w:pict>
          <v:shape id="_x0000_s1032" o:spid="_x0000_s1032" o:spt="75" type="#_x0000_t75" style="position:absolute;left:0pt;margin-left:29.9pt;margin-top:2.15pt;height:227.9pt;width:347.9pt;z-index:-251635712;mso-width-relative:page;mso-height-relative:page;" o:ole="t" filled="f" o:preferrelative="t" stroked="f" coordsize="21600,21600">
            <v:path/>
            <v:fill on="f" focussize="0,0"/>
            <v:stroke on="f"/>
            <v:imagedata r:id="rId24" o:title=""/>
            <o:lock v:ext="edit" aspectratio="t"/>
          </v:shape>
          <o:OLEObject Type="Embed" ProgID="Excel.Chart.8" ShapeID="_x0000_s1032" DrawAspect="Content" ObjectID="_1468075725" r:id="rId23">
            <o:LockedField>false</o:LockedField>
          </o:OLEObject>
        </w:pict>
      </w:r>
    </w:p>
    <w:p>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hint="eastAsia" w:ascii="仿宋_GB2312" w:hAnsi="Times New Roman" w:eastAsia="仿宋_GB2312" w:cs="DengXian-Regular"/>
          <w:sz w:val="32"/>
          <w:szCs w:val="32"/>
          <w:lang w:eastAsia="zh-CN"/>
        </w:rPr>
      </w:pPr>
    </w:p>
    <w:p>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hint="eastAsia" w:ascii="仿宋_GB2312" w:hAnsi="Times New Roman" w:eastAsia="仿宋_GB2312" w:cs="DengXian-Regular"/>
          <w:sz w:val="32"/>
          <w:szCs w:val="32"/>
          <w:lang w:eastAsia="zh-CN"/>
        </w:rPr>
      </w:pPr>
    </w:p>
    <w:p>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hint="eastAsia" w:ascii="仿宋_GB2312" w:hAnsi="Times New Roman" w:eastAsia="仿宋_GB2312" w:cs="DengXian-Regular"/>
          <w:sz w:val="32"/>
          <w:szCs w:val="32"/>
          <w:lang w:val="en-US" w:eastAsia="zh-CN"/>
        </w:rPr>
      </w:pPr>
    </w:p>
    <w:p>
      <w:pPr>
        <w:keepNext/>
        <w:keepLines/>
        <w:pageBreakBefore w:val="0"/>
        <w:widowControl w:val="0"/>
        <w:kinsoku/>
        <w:wordWrap/>
        <w:overflowPunct/>
        <w:topLinePunct w:val="0"/>
        <w:autoSpaceDE/>
        <w:autoSpaceDN/>
        <w:bidi w:val="0"/>
        <w:snapToGrid w:val="0"/>
        <w:spacing w:line="580" w:lineRule="exact"/>
        <w:ind w:right="0" w:rightChars="0" w:firstLine="640" w:firstLineChars="200"/>
        <w:jc w:val="both"/>
        <w:textAlignment w:val="auto"/>
        <w:outlineLvl w:val="1"/>
        <w:rPr>
          <w:rFonts w:hint="eastAsia" w:ascii="黑体" w:hAnsi="Calibri" w:eastAsia="黑体" w:cs="Times New Roman"/>
          <w:b w:val="0"/>
          <w:bCs w:val="0"/>
          <w:kern w:val="2"/>
          <w:sz w:val="32"/>
          <w:szCs w:val="32"/>
          <w:lang w:val="en-US" w:eastAsia="zh-CN" w:bidi="ar-SA"/>
        </w:rPr>
      </w:pPr>
    </w:p>
    <w:p>
      <w:pPr>
        <w:keepNext/>
        <w:keepLines/>
        <w:pageBreakBefore w:val="0"/>
        <w:widowControl w:val="0"/>
        <w:kinsoku/>
        <w:wordWrap/>
        <w:overflowPunct/>
        <w:topLinePunct w:val="0"/>
        <w:autoSpaceDE/>
        <w:autoSpaceDN/>
        <w:bidi w:val="0"/>
        <w:snapToGrid w:val="0"/>
        <w:spacing w:line="580" w:lineRule="exact"/>
        <w:ind w:right="0" w:rightChars="0" w:firstLine="640" w:firstLineChars="200"/>
        <w:jc w:val="both"/>
        <w:textAlignment w:val="auto"/>
        <w:outlineLvl w:val="1"/>
        <w:rPr>
          <w:rFonts w:hint="eastAsia" w:ascii="黑体" w:hAnsi="Calibri" w:eastAsia="黑体" w:cs="Times New Roman"/>
          <w:b w:val="0"/>
          <w:bCs w:val="0"/>
          <w:kern w:val="2"/>
          <w:sz w:val="32"/>
          <w:szCs w:val="32"/>
          <w:lang w:val="en-US" w:eastAsia="zh-CN" w:bidi="ar-SA"/>
        </w:rPr>
      </w:pPr>
    </w:p>
    <w:p>
      <w:pPr>
        <w:keepNext/>
        <w:keepLines/>
        <w:pageBreakBefore w:val="0"/>
        <w:widowControl w:val="0"/>
        <w:kinsoku/>
        <w:wordWrap/>
        <w:overflowPunct/>
        <w:topLinePunct w:val="0"/>
        <w:autoSpaceDE/>
        <w:autoSpaceDN/>
        <w:bidi w:val="0"/>
        <w:snapToGrid w:val="0"/>
        <w:spacing w:line="580" w:lineRule="exact"/>
        <w:ind w:right="0" w:rightChars="0" w:firstLine="640" w:firstLineChars="200"/>
        <w:jc w:val="both"/>
        <w:textAlignment w:val="auto"/>
        <w:outlineLvl w:val="1"/>
        <w:rPr>
          <w:rFonts w:hint="eastAsia" w:ascii="黑体" w:hAnsi="Calibri" w:eastAsia="黑体" w:cs="Times New Roman"/>
          <w:b w:val="0"/>
          <w:bCs w:val="0"/>
          <w:kern w:val="2"/>
          <w:sz w:val="32"/>
          <w:szCs w:val="32"/>
          <w:lang w:val="en-US" w:eastAsia="zh-CN" w:bidi="ar-SA"/>
        </w:rPr>
      </w:pPr>
    </w:p>
    <w:p>
      <w:pPr>
        <w:keepNext/>
        <w:keepLines/>
        <w:pageBreakBefore w:val="0"/>
        <w:widowControl w:val="0"/>
        <w:kinsoku/>
        <w:wordWrap/>
        <w:overflowPunct/>
        <w:topLinePunct w:val="0"/>
        <w:autoSpaceDE/>
        <w:autoSpaceDN/>
        <w:bidi w:val="0"/>
        <w:snapToGrid w:val="0"/>
        <w:spacing w:line="580" w:lineRule="exact"/>
        <w:ind w:right="0" w:rightChars="0"/>
        <w:jc w:val="center"/>
        <w:textAlignment w:val="auto"/>
        <w:outlineLvl w:val="1"/>
        <w:rPr>
          <w:rFonts w:hint="eastAsia" w:ascii="黑体" w:hAnsi="Calibri" w:eastAsia="黑体" w:cs="Times New Roman"/>
          <w:b w:val="0"/>
          <w:bCs w:val="0"/>
          <w:kern w:val="2"/>
          <w:sz w:val="32"/>
          <w:szCs w:val="32"/>
          <w:lang w:val="en-US" w:eastAsia="zh-CN" w:bidi="ar-SA"/>
        </w:rPr>
      </w:pPr>
      <w:r>
        <w:rPr>
          <w:rFonts w:hint="eastAsia" w:ascii="仿宋_GB2312" w:hAnsi="Times New Roman" w:eastAsia="仿宋_GB2312" w:cs="DengXian-Regular"/>
          <w:sz w:val="28"/>
          <w:szCs w:val="28"/>
        </w:rPr>
        <w:t>图</w:t>
      </w:r>
      <w:r>
        <w:rPr>
          <w:rFonts w:hint="eastAsia" w:ascii="仿宋_GB2312" w:hAnsi="Times New Roman" w:eastAsia="仿宋_GB2312" w:cs="DengXian-Regular"/>
          <w:sz w:val="28"/>
          <w:szCs w:val="28"/>
          <w:lang w:val="en-US" w:eastAsia="zh-CN"/>
        </w:rPr>
        <w:t>1</w:t>
      </w:r>
      <w:r>
        <w:rPr>
          <w:rFonts w:hint="eastAsia" w:ascii="仿宋_GB2312" w:hAnsi="Times New Roman" w:eastAsia="仿宋_GB2312" w:cs="DengXian-Regular"/>
          <w:sz w:val="28"/>
          <w:szCs w:val="28"/>
        </w:rPr>
        <w:t>：</w:t>
      </w:r>
      <w:r>
        <w:rPr>
          <w:rFonts w:hint="eastAsia" w:ascii="仿宋_GB2312" w:hAnsi="Times New Roman" w:eastAsia="仿宋_GB2312" w:cs="DengXian-Regular"/>
          <w:sz w:val="28"/>
          <w:szCs w:val="28"/>
          <w:lang w:val="en-US" w:eastAsia="zh-CN"/>
        </w:rPr>
        <w:t>收入构成情况</w:t>
      </w:r>
    </w:p>
    <w:p>
      <w:pPr>
        <w:keepNext/>
        <w:keepLines/>
        <w:pageBreakBefore w:val="0"/>
        <w:widowControl w:val="0"/>
        <w:kinsoku/>
        <w:wordWrap/>
        <w:overflowPunct/>
        <w:topLinePunct w:val="0"/>
        <w:autoSpaceDE/>
        <w:autoSpaceDN/>
        <w:bidi w:val="0"/>
        <w:snapToGrid w:val="0"/>
        <w:spacing w:line="580" w:lineRule="exact"/>
        <w:ind w:right="0" w:rightChars="0" w:firstLine="640" w:firstLineChars="200"/>
        <w:jc w:val="both"/>
        <w:textAlignment w:val="auto"/>
        <w:outlineLvl w:val="1"/>
        <w:rPr>
          <w:rFonts w:ascii="黑体" w:hAnsi="Calibri" w:eastAsia="黑体" w:cs="Times New Roman"/>
          <w:b w:val="0"/>
          <w:bCs w:val="0"/>
          <w:kern w:val="2"/>
          <w:sz w:val="32"/>
          <w:szCs w:val="32"/>
          <w:lang w:val="en-US" w:eastAsia="zh-CN" w:bidi="ar-SA"/>
        </w:rPr>
      </w:pPr>
      <w:r>
        <w:rPr>
          <w:rFonts w:hint="eastAsia" w:ascii="黑体" w:hAnsi="Calibri" w:eastAsia="黑体" w:cs="Times New Roman"/>
          <w:b w:val="0"/>
          <w:bCs w:val="0"/>
          <w:kern w:val="2"/>
          <w:sz w:val="32"/>
          <w:szCs w:val="32"/>
          <w:lang w:val="en-US" w:eastAsia="zh-CN" w:bidi="ar-SA"/>
        </w:rPr>
        <w:t>三、支出决算情况说明</w:t>
      </w:r>
    </w:p>
    <w:p>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hint="eastAsia" w:ascii="黑体" w:hAnsi="Calibri" w:eastAsia="黑体" w:cs="Times New Roman"/>
          <w:b w:val="0"/>
          <w:bCs w:val="0"/>
          <w:kern w:val="2"/>
          <w:sz w:val="32"/>
          <w:szCs w:val="32"/>
          <w:lang w:val="en-US" w:eastAsia="zh-CN" w:bidi="ar-SA"/>
        </w:rPr>
      </w:pP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eastAsia="zh-CN"/>
        </w:rPr>
        <w:t>2019年</w:t>
      </w:r>
      <w:r>
        <w:rPr>
          <w:rFonts w:hint="eastAsia" w:ascii="仿宋_GB2312" w:hAnsi="Times New Roman" w:eastAsia="仿宋_GB2312" w:cs="DengXian-Regular"/>
          <w:sz w:val="32"/>
          <w:szCs w:val="32"/>
        </w:rPr>
        <w:t>度本年支出合计</w:t>
      </w:r>
      <w:r>
        <w:rPr>
          <w:rFonts w:hint="eastAsia" w:ascii="仿宋" w:hAnsi="仿宋" w:eastAsia="仿宋"/>
          <w:sz w:val="32"/>
          <w:szCs w:val="32"/>
          <w:lang w:val="en-US" w:eastAsia="zh-CN"/>
        </w:rPr>
        <w:t>548.97</w:t>
      </w:r>
      <w:r>
        <w:rPr>
          <w:rFonts w:hint="eastAsia" w:ascii="仿宋_GB2312" w:hAnsi="Times New Roman" w:eastAsia="仿宋_GB2312" w:cs="DengXian-Regular"/>
          <w:sz w:val="32"/>
          <w:szCs w:val="32"/>
        </w:rPr>
        <w:t>万元，其中：基本支出</w:t>
      </w:r>
      <w:r>
        <w:rPr>
          <w:rFonts w:hint="eastAsia" w:ascii="仿宋" w:hAnsi="仿宋" w:eastAsia="仿宋"/>
          <w:sz w:val="32"/>
          <w:szCs w:val="32"/>
          <w:lang w:val="en-US" w:eastAsia="zh-CN"/>
        </w:rPr>
        <w:t>311.10</w:t>
      </w:r>
      <w:bookmarkStart w:id="0" w:name="_GoBack"/>
      <w:bookmarkEnd w:id="0"/>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w:t>
      </w:r>
      <w:r>
        <w:rPr>
          <w:rFonts w:hint="eastAsia" w:ascii="仿宋_GB2312" w:hAnsi="Times New Roman" w:eastAsia="仿宋_GB2312" w:cs="DengXian-Regular"/>
          <w:sz w:val="32"/>
          <w:szCs w:val="32"/>
        </w:rPr>
        <w:t>占</w:t>
      </w:r>
      <w:r>
        <w:rPr>
          <w:rFonts w:hint="eastAsia" w:ascii="仿宋_GB2312" w:hAnsi="Times New Roman" w:eastAsia="仿宋_GB2312" w:cs="DengXian-Regular"/>
          <w:sz w:val="32"/>
          <w:szCs w:val="32"/>
          <w:lang w:val="en-US" w:eastAsia="zh-CN"/>
        </w:rPr>
        <w:t>57</w:t>
      </w:r>
      <w:r>
        <w:rPr>
          <w:rFonts w:hint="eastAsia" w:ascii="仿宋_GB2312" w:hAnsi="Times New Roman" w:eastAsia="仿宋_GB2312" w:cs="DengXian-Regular"/>
          <w:sz w:val="32"/>
          <w:szCs w:val="32"/>
        </w:rPr>
        <w:t>%；项目支出</w:t>
      </w:r>
      <w:r>
        <w:rPr>
          <w:rFonts w:hint="eastAsia" w:ascii="仿宋" w:hAnsi="仿宋" w:eastAsia="仿宋"/>
          <w:sz w:val="32"/>
          <w:szCs w:val="32"/>
          <w:lang w:val="en-US" w:eastAsia="zh-CN"/>
        </w:rPr>
        <w:t>237.87</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43</w:t>
      </w:r>
      <w:r>
        <w:rPr>
          <w:rFonts w:hint="eastAsia" w:ascii="仿宋_GB2312" w:hAnsi="Times New Roman" w:eastAsia="仿宋_GB2312" w:cs="DengXian-Regular"/>
          <w:sz w:val="32"/>
          <w:szCs w:val="32"/>
        </w:rPr>
        <w:t>%。如图所示</w:t>
      </w:r>
      <w:r>
        <w:rPr>
          <w:sz w:val="32"/>
        </w:rPr>
        <mc:AlternateContent>
          <mc:Choice Requires="wps">
            <w:drawing>
              <wp:anchor distT="0" distB="0" distL="114300" distR="114300" simplePos="0" relativeHeight="251669504" behindDoc="1" locked="0" layoutInCell="1" allowOverlap="1">
                <wp:simplePos x="0" y="0"/>
                <wp:positionH relativeFrom="column">
                  <wp:posOffset>1336675</wp:posOffset>
                </wp:positionH>
                <wp:positionV relativeFrom="paragraph">
                  <wp:posOffset>254635</wp:posOffset>
                </wp:positionV>
                <wp:extent cx="3314065" cy="483235"/>
                <wp:effectExtent l="0" t="0" r="635" b="12065"/>
                <wp:wrapNone/>
                <wp:docPr id="30" name="文本框 30"/>
                <wp:cNvGraphicFramePr/>
                <a:graphic xmlns:a="http://schemas.openxmlformats.org/drawingml/2006/main">
                  <a:graphicData uri="http://schemas.microsoft.com/office/word/2010/wordprocessingShape">
                    <wps:wsp>
                      <wps:cNvSpPr txBox="1"/>
                      <wps:spPr>
                        <a:xfrm>
                          <a:off x="1953895" y="7080250"/>
                          <a:ext cx="3314065" cy="48323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160" w:line="480" w:lineRule="auto"/>
                              <w:rPr>
                                <w:rFonts w:ascii="Times New Roman" w:hAnsi="Times New Roman" w:eastAsia="宋体" w:cs="Times New Roman"/>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25pt;margin-top:20.05pt;height:38.05pt;width:260.95pt;z-index:-251646976;mso-width-relative:page;mso-height-relative:page;" fillcolor="#FFFFFF" filled="t" stroked="f" coordsize="21600,21600" o:gfxdata="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nxiudUAAAAKAQAADwAAAAAAAAABACAAAAAiAAAAZHJzL2Rvd25yZXYueG1sUEsBAhQAFAAAAAgA&#10;h07iQKS5/NxhAgAAqwQAAA4AAAAAAAAAAQAgAAAAJAEAAGRycy9lMm9Eb2MueG1sUEsFBgAAAAAG&#10;AAYAWQEAAPcFAAAAAA==&#10;">
                <v:fill on="t" focussize="0,0"/>
                <v:stroke on="f" weight="0.5pt"/>
                <v:imagedata o:title=""/>
                <o:lock v:ext="edit" aspectratio="f"/>
                <v:textbox>
                  <w:txbxContent>
                    <w:p>
                      <w:pPr>
                        <w:spacing w:after="160" w:line="480" w:lineRule="auto"/>
                        <w:rPr>
                          <w:rFonts w:ascii="Times New Roman" w:hAnsi="Times New Roman" w:eastAsia="宋体" w:cs="Times New Roman"/>
                          <w:sz w:val="20"/>
                          <w:szCs w:val="22"/>
                        </w:rPr>
                      </w:pPr>
                    </w:p>
                  </w:txbxContent>
                </v:textbox>
              </v:shape>
            </w:pict>
          </mc:Fallback>
        </mc:AlternateContent>
      </w:r>
      <w:r>
        <w:rPr>
          <w:rFonts w:hint="eastAsia" w:ascii="仿宋_GB2312" w:hAnsi="Times New Roman" w:eastAsia="仿宋_GB2312" w:cs="DengXian-Regular"/>
          <w:sz w:val="32"/>
          <w:szCs w:val="32"/>
          <w:lang w:val="en-US" w:eastAsia="zh-CN"/>
        </w:rPr>
        <w:t>:</w:t>
      </w:r>
    </w:p>
    <w:p>
      <w:pPr>
        <w:keepNext/>
        <w:keepLines/>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1"/>
        <w:rPr>
          <w:rFonts w:hint="eastAsia" w:ascii="黑体" w:hAnsi="Calibri" w:eastAsia="黑体" w:cs="Times New Roman"/>
          <w:b w:val="0"/>
          <w:bCs w:val="0"/>
          <w:kern w:val="2"/>
          <w:sz w:val="32"/>
          <w:szCs w:val="32"/>
          <w:lang w:val="en-US" w:eastAsia="zh-CN" w:bidi="ar-SA"/>
        </w:rPr>
      </w:pPr>
      <w:r>
        <w:pict>
          <v:shape id="_x0000_s1026" o:spid="_x0000_s1026" o:spt="75" type="#_x0000_t75" style="position:absolute;left:0pt;margin-left:55.4pt;margin-top:6.65pt;height:206.8pt;width:347.85pt;z-index:-251640832;mso-width-relative:page;mso-height-relative:page;" o:ole="t" filled="f" o:preferrelative="t" stroked="f" coordsize="21600,21600">
            <v:path/>
            <v:fill on="f" focussize="0,0"/>
            <v:stroke on="f"/>
            <v:imagedata r:id="rId26" o:title=""/>
            <o:lock v:ext="edit" aspectratio="t"/>
          </v:shape>
          <o:OLEObject Type="Embed" ProgID="Excel.Chart.8" ShapeID="_x0000_s1026" DrawAspect="Content" ObjectID="_1468075726" r:id="rId25">
            <o:LockedField>false</o:LockedField>
          </o:OLEObject>
        </w:pict>
      </w:r>
    </w:p>
    <w:p>
      <w:pPr>
        <w:keepNext/>
        <w:keepLines/>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1"/>
        <w:rPr>
          <w:rFonts w:hint="eastAsia" w:ascii="黑体" w:hAnsi="Calibri" w:eastAsia="黑体" w:cs="Times New Roman"/>
          <w:b w:val="0"/>
          <w:bCs w:val="0"/>
          <w:kern w:val="2"/>
          <w:sz w:val="32"/>
          <w:szCs w:val="32"/>
          <w:lang w:val="en-US" w:eastAsia="zh-CN" w:bidi="ar-SA"/>
        </w:rPr>
      </w:pPr>
    </w:p>
    <w:p>
      <w:pPr>
        <w:keepNext/>
        <w:keepLines/>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1"/>
        <w:rPr>
          <w:rFonts w:hint="eastAsia" w:ascii="黑体" w:hAnsi="Calibri" w:eastAsia="黑体" w:cs="Times New Roman"/>
          <w:b w:val="0"/>
          <w:bCs w:val="0"/>
          <w:kern w:val="2"/>
          <w:sz w:val="32"/>
          <w:szCs w:val="32"/>
          <w:lang w:val="en-US" w:eastAsia="zh-CN" w:bidi="ar-SA"/>
        </w:rPr>
      </w:pPr>
    </w:p>
    <w:p>
      <w:pPr>
        <w:keepNext/>
        <w:keepLines/>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1"/>
        <w:rPr>
          <w:rFonts w:hint="eastAsia" w:ascii="黑体" w:hAnsi="Calibri" w:eastAsia="黑体" w:cs="Times New Roman"/>
          <w:b w:val="0"/>
          <w:bCs w:val="0"/>
          <w:kern w:val="2"/>
          <w:sz w:val="32"/>
          <w:szCs w:val="32"/>
          <w:lang w:val="en-US" w:eastAsia="zh-CN" w:bidi="ar-SA"/>
        </w:rPr>
      </w:pPr>
    </w:p>
    <w:p>
      <w:pPr>
        <w:keepNext/>
        <w:keepLines/>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1"/>
        <w:rPr>
          <w:rFonts w:hint="eastAsia" w:ascii="黑体" w:hAnsi="Calibri" w:eastAsia="黑体" w:cs="Times New Roman"/>
          <w:b w:val="0"/>
          <w:bCs w:val="0"/>
          <w:kern w:val="2"/>
          <w:sz w:val="32"/>
          <w:szCs w:val="32"/>
          <w:lang w:val="en-US" w:eastAsia="zh-CN" w:bidi="ar-SA"/>
        </w:rPr>
      </w:pPr>
    </w:p>
    <w:p>
      <w:pPr>
        <w:keepNext/>
        <w:keepLines/>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1"/>
        <w:rPr>
          <w:rFonts w:hint="eastAsia" w:ascii="黑体" w:hAnsi="Calibri" w:eastAsia="黑体" w:cs="Times New Roman"/>
          <w:b w:val="0"/>
          <w:bCs w:val="0"/>
          <w:kern w:val="2"/>
          <w:sz w:val="32"/>
          <w:szCs w:val="32"/>
          <w:lang w:val="en-US" w:eastAsia="zh-CN" w:bidi="ar-SA"/>
        </w:rPr>
      </w:pPr>
    </w:p>
    <w:p>
      <w:pPr>
        <w:keepNext/>
        <w:keepLines/>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1"/>
        <w:rPr>
          <w:rFonts w:hint="eastAsia" w:ascii="黑体" w:hAnsi="Calibri" w:eastAsia="黑体" w:cs="Times New Roman"/>
          <w:b w:val="0"/>
          <w:bCs w:val="0"/>
          <w:kern w:val="2"/>
          <w:sz w:val="32"/>
          <w:szCs w:val="32"/>
          <w:lang w:val="en-US" w:eastAsia="zh-CN" w:bidi="ar-SA"/>
        </w:rPr>
      </w:pPr>
    </w:p>
    <w:p>
      <w:pPr>
        <w:keepNext/>
        <w:keepLines/>
        <w:pageBreakBefore w:val="0"/>
        <w:widowControl w:val="0"/>
        <w:kinsoku/>
        <w:wordWrap/>
        <w:overflowPunct/>
        <w:topLinePunct w:val="0"/>
        <w:autoSpaceDE/>
        <w:autoSpaceDN/>
        <w:bidi w:val="0"/>
        <w:adjustRightInd/>
        <w:snapToGrid w:val="0"/>
        <w:spacing w:line="580" w:lineRule="exact"/>
        <w:ind w:right="0" w:rightChars="0"/>
        <w:jc w:val="both"/>
        <w:textAlignment w:val="auto"/>
        <w:outlineLvl w:val="1"/>
        <w:rPr>
          <w:rFonts w:hint="eastAsia" w:ascii="黑体" w:hAnsi="Calibri" w:eastAsia="黑体" w:cs="Times New Roman"/>
          <w:b w:val="0"/>
          <w:bCs w:val="0"/>
          <w:kern w:val="2"/>
          <w:sz w:val="32"/>
          <w:szCs w:val="32"/>
          <w:lang w:val="en-US" w:eastAsia="zh-CN" w:bidi="ar-SA"/>
        </w:rPr>
      </w:pPr>
    </w:p>
    <w:p>
      <w:pPr>
        <w:adjustRightInd w:val="0"/>
        <w:snapToGrid w:val="0"/>
        <w:spacing w:after="160" w:line="560" w:lineRule="exact"/>
        <w:ind w:left="0" w:leftChars="0" w:firstLine="0" w:firstLineChars="0"/>
        <w:jc w:val="center"/>
        <w:rPr>
          <w:rFonts w:hint="eastAsia" w:ascii="仿宋_GB2312" w:hAnsi="Times New Roman" w:eastAsia="仿宋_GB2312" w:cs="DengXian-Regular"/>
          <w:sz w:val="28"/>
          <w:szCs w:val="28"/>
        </w:rPr>
      </w:pPr>
    </w:p>
    <w:p>
      <w:pPr>
        <w:adjustRightInd w:val="0"/>
        <w:snapToGrid w:val="0"/>
        <w:spacing w:after="160" w:line="560" w:lineRule="exact"/>
        <w:ind w:left="0" w:leftChars="0" w:firstLine="0" w:firstLineChars="0"/>
        <w:jc w:val="center"/>
        <w:rPr>
          <w:rFonts w:hint="eastAsia" w:ascii="黑体" w:hAnsi="Calibri" w:eastAsia="黑体" w:cs="Times New Roman"/>
          <w:b w:val="0"/>
          <w:bCs w:val="0"/>
          <w:kern w:val="2"/>
          <w:sz w:val="32"/>
          <w:szCs w:val="32"/>
          <w:lang w:val="en-US" w:eastAsia="zh-CN" w:bidi="ar-SA"/>
        </w:rPr>
      </w:pPr>
      <w:r>
        <w:rPr>
          <w:rFonts w:hint="eastAsia" w:ascii="仿宋_GB2312" w:hAnsi="Times New Roman" w:eastAsia="仿宋_GB2312" w:cs="DengXian-Regular"/>
          <w:sz w:val="28"/>
          <w:szCs w:val="28"/>
        </w:rPr>
        <w:t>图</w:t>
      </w:r>
      <w:r>
        <w:rPr>
          <w:rFonts w:hint="eastAsia" w:ascii="仿宋_GB2312" w:hAnsi="Times New Roman" w:eastAsia="仿宋_GB2312" w:cs="DengXian-Regular"/>
          <w:sz w:val="28"/>
          <w:szCs w:val="28"/>
          <w:lang w:val="en-US" w:eastAsia="zh-CN"/>
        </w:rPr>
        <w:t>2</w:t>
      </w:r>
      <w:r>
        <w:rPr>
          <w:rFonts w:hint="eastAsia" w:ascii="仿宋_GB2312" w:hAnsi="Times New Roman" w:eastAsia="仿宋_GB2312" w:cs="DengXian-Regular"/>
          <w:sz w:val="28"/>
          <w:szCs w:val="28"/>
        </w:rPr>
        <w:t>：支出</w:t>
      </w:r>
      <w:r>
        <w:rPr>
          <w:rFonts w:hint="eastAsia" w:ascii="仿宋_GB2312" w:hAnsi="Times New Roman" w:eastAsia="仿宋_GB2312" w:cs="DengXian-Regular"/>
          <w:sz w:val="28"/>
          <w:szCs w:val="28"/>
          <w:lang w:val="en-US" w:eastAsia="zh-CN"/>
        </w:rPr>
        <w:t>构成情况（按支出性质）</w:t>
      </w:r>
    </w:p>
    <w:p>
      <w:pPr>
        <w:keepNext/>
        <w:keepLines/>
        <w:pageBreakBefore w:val="0"/>
        <w:widowControl w:val="0"/>
        <w:kinsoku/>
        <w:wordWrap/>
        <w:overflowPunct/>
        <w:topLinePunct w:val="0"/>
        <w:autoSpaceDE/>
        <w:autoSpaceDN/>
        <w:bidi w:val="0"/>
        <w:adjustRightInd/>
        <w:snapToGrid w:val="0"/>
        <w:spacing w:line="580" w:lineRule="exact"/>
        <w:ind w:right="0" w:rightChars="0" w:firstLine="640" w:firstLineChars="200"/>
        <w:jc w:val="both"/>
        <w:textAlignment w:val="auto"/>
        <w:outlineLvl w:val="1"/>
        <w:rPr>
          <w:rFonts w:ascii="黑体" w:hAnsi="Calibri" w:eastAsia="黑体" w:cs="Times New Roman"/>
          <w:b w:val="0"/>
          <w:bCs w:val="0"/>
          <w:kern w:val="2"/>
          <w:sz w:val="32"/>
          <w:szCs w:val="32"/>
          <w:lang w:val="en-US" w:eastAsia="zh-CN" w:bidi="ar-SA"/>
        </w:rPr>
      </w:pPr>
      <w:r>
        <w:rPr>
          <w:rFonts w:hint="eastAsia" w:ascii="黑体" w:hAnsi="Cambria" w:eastAsia="黑体" w:cs="黑体"/>
          <w:b w:val="0"/>
          <w:bCs w:val="0"/>
          <w:kern w:val="0"/>
          <w:sz w:val="32"/>
          <w:szCs w:val="32"/>
          <w:lang w:val="en-US" w:eastAsia="zh-CN" w:bidi="ar-SA"/>
        </w:rPr>
        <w:t>四、财政</w:t>
      </w:r>
      <w:r>
        <w:rPr>
          <w:rFonts w:hint="eastAsia" w:ascii="黑体" w:hAnsi="Calibri" w:eastAsia="黑体" w:cs="Times New Roman"/>
          <w:b w:val="0"/>
          <w:bCs w:val="0"/>
          <w:kern w:val="2"/>
          <w:sz w:val="32"/>
          <w:szCs w:val="32"/>
          <w:lang w:val="en-US" w:eastAsia="zh-CN" w:bidi="ar-SA"/>
        </w:rPr>
        <w:t>拨款收入支出决算总体情况说明</w:t>
      </w:r>
    </w:p>
    <w:p>
      <w:pPr>
        <w:pageBreakBefore w:val="0"/>
        <w:widowControl w:val="0"/>
        <w:kinsoku/>
        <w:wordWrap/>
        <w:overflowPunct/>
        <w:topLinePunct w:val="0"/>
        <w:autoSpaceDE/>
        <w:autoSpaceDN/>
        <w:bidi w:val="0"/>
        <w:snapToGrid w:val="0"/>
        <w:spacing w:line="580" w:lineRule="exact"/>
        <w:ind w:right="0" w:rightChars="0" w:firstLine="643" w:firstLineChars="200"/>
        <w:textAlignment w:val="auto"/>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（一）财政拨款收支与</w:t>
      </w:r>
      <w:r>
        <w:rPr>
          <w:rFonts w:hint="eastAsia" w:ascii="楷体_GB2312" w:hAnsi="Times New Roman" w:eastAsia="楷体_GB2312" w:cs="DengXian-Bold"/>
          <w:b/>
          <w:bCs/>
          <w:sz w:val="32"/>
          <w:szCs w:val="32"/>
          <w:lang w:eastAsia="zh-CN"/>
        </w:rPr>
        <w:t>2018</w:t>
      </w:r>
      <w:r>
        <w:rPr>
          <w:rFonts w:hint="eastAsia" w:ascii="楷体_GB2312" w:hAnsi="Times New Roman" w:eastAsia="楷体_GB2312" w:cs="DengXian-Bold"/>
          <w:b/>
          <w:bCs/>
          <w:sz w:val="32"/>
          <w:szCs w:val="32"/>
        </w:rPr>
        <w:t xml:space="preserve"> 年度决算对比情况</w:t>
      </w:r>
    </w:p>
    <w:p>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eastAsia="zh-CN"/>
        </w:rPr>
        <w:t>2019年</w:t>
      </w:r>
      <w:r>
        <w:rPr>
          <w:rFonts w:hint="eastAsia" w:ascii="仿宋_GB2312" w:hAnsi="Times New Roman" w:eastAsia="仿宋_GB2312" w:cs="DengXian-Regular"/>
          <w:sz w:val="32"/>
          <w:szCs w:val="32"/>
        </w:rPr>
        <w:t>度</w:t>
      </w:r>
      <w:r>
        <w:rPr>
          <w:rFonts w:hint="eastAsia" w:ascii="仿宋_GB2312" w:hAnsi="Times New Roman" w:eastAsia="仿宋_GB2312" w:cs="DengXian-Regular"/>
          <w:sz w:val="32"/>
          <w:szCs w:val="32"/>
          <w:lang w:val="en-US" w:eastAsia="zh-CN"/>
        </w:rPr>
        <w:t>形成的财政拨款收支均为一般公共预算</w:t>
      </w:r>
      <w:r>
        <w:rPr>
          <w:rFonts w:hint="eastAsia" w:ascii="仿宋_GB2312" w:hAnsi="Times New Roman" w:eastAsia="仿宋_GB2312" w:cs="DengXian-Regular"/>
          <w:sz w:val="32"/>
          <w:szCs w:val="32"/>
        </w:rPr>
        <w:t>财政拨款</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lang w:val="en-US" w:eastAsia="zh-CN"/>
        </w:rPr>
        <w:t>其中本年收入</w:t>
      </w:r>
      <w:r>
        <w:rPr>
          <w:rFonts w:hint="eastAsia" w:ascii="仿宋" w:hAnsi="仿宋" w:eastAsia="仿宋"/>
          <w:sz w:val="32"/>
          <w:szCs w:val="32"/>
          <w:lang w:val="en-US" w:eastAsia="zh-CN"/>
        </w:rPr>
        <w:t>525.74</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,比2018年度</w:t>
      </w:r>
      <w:r>
        <w:rPr>
          <w:rFonts w:hint="eastAsia" w:ascii="仿宋_GB2312" w:hAnsi="Times New Roman" w:eastAsia="仿宋_GB2312" w:cs="DengXian-Regular"/>
          <w:sz w:val="32"/>
          <w:szCs w:val="32"/>
        </w:rPr>
        <w:t>减少</w:t>
      </w:r>
      <w:r>
        <w:rPr>
          <w:rFonts w:hint="eastAsia" w:ascii="仿宋" w:hAnsi="仿宋" w:eastAsia="仿宋"/>
          <w:sz w:val="32"/>
          <w:szCs w:val="32"/>
          <w:lang w:val="en-US" w:eastAsia="zh-CN"/>
        </w:rPr>
        <w:t>7.50</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1.4</w:t>
      </w:r>
      <w:r>
        <w:rPr>
          <w:rFonts w:hint="eastAsia" w:ascii="仿宋_GB2312" w:hAnsi="Times New Roman" w:eastAsia="仿宋_GB2312" w:cs="DengXian-Regular"/>
          <w:sz w:val="32"/>
          <w:szCs w:val="32"/>
        </w:rPr>
        <w:t>%，主要</w:t>
      </w:r>
      <w:r>
        <w:rPr>
          <w:rFonts w:hint="eastAsia" w:ascii="仿宋_GB2312" w:hAnsi="Times New Roman" w:eastAsia="仿宋_GB2312" w:cs="DengXian-Regular"/>
          <w:sz w:val="32"/>
          <w:szCs w:val="32"/>
          <w:lang w:val="en-US" w:eastAsia="zh-CN"/>
        </w:rPr>
        <w:t>是人员退休和购书费减少</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val="en-US" w:eastAsia="zh-CN"/>
        </w:rPr>
        <w:t>本年</w:t>
      </w:r>
      <w:r>
        <w:rPr>
          <w:rFonts w:hint="eastAsia" w:ascii="仿宋_GB2312" w:hAnsi="Times New Roman" w:eastAsia="仿宋_GB2312" w:cs="DengXian-Regular"/>
          <w:sz w:val="32"/>
          <w:szCs w:val="32"/>
        </w:rPr>
        <w:t>支出</w:t>
      </w:r>
      <w:r>
        <w:rPr>
          <w:rFonts w:hint="eastAsia" w:ascii="仿宋" w:hAnsi="仿宋" w:eastAsia="仿宋"/>
          <w:sz w:val="32"/>
          <w:szCs w:val="32"/>
          <w:lang w:val="en-US" w:eastAsia="zh-CN"/>
        </w:rPr>
        <w:t>548.97</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增加</w:t>
      </w:r>
      <w:r>
        <w:rPr>
          <w:rFonts w:hint="eastAsia" w:ascii="仿宋" w:hAnsi="仿宋" w:eastAsia="仿宋"/>
          <w:sz w:val="32"/>
          <w:szCs w:val="32"/>
          <w:lang w:val="en-US" w:eastAsia="zh-CN"/>
        </w:rPr>
        <w:t>15.74</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2.9</w:t>
      </w:r>
      <w:r>
        <w:rPr>
          <w:rFonts w:hint="eastAsia" w:ascii="仿宋_GB2312" w:hAnsi="Times New Roman" w:eastAsia="仿宋_GB2312" w:cs="DengXian-Regular"/>
          <w:sz w:val="32"/>
          <w:szCs w:val="32"/>
        </w:rPr>
        <w:t>%，主要是</w:t>
      </w:r>
      <w:r>
        <w:rPr>
          <w:rFonts w:hint="eastAsia" w:ascii="仿宋" w:hAnsi="仿宋" w:eastAsia="仿宋"/>
          <w:sz w:val="32"/>
          <w:szCs w:val="32"/>
          <w:lang w:val="en-US" w:eastAsia="zh-CN"/>
        </w:rPr>
        <w:t>调整的个人负担的养老保险费的支出</w:t>
      </w:r>
      <w:r>
        <w:rPr>
          <w:rFonts w:hint="eastAsia" w:ascii="仿宋_GB2312" w:hAnsi="Times New Roman" w:eastAsia="仿宋_GB2312" w:cs="DengXian-Regular"/>
          <w:sz w:val="32"/>
          <w:szCs w:val="32"/>
        </w:rPr>
        <w:t>。</w:t>
      </w:r>
    </w:p>
    <w:p>
      <w:pPr>
        <w:pageBreakBefore w:val="0"/>
        <w:widowControl w:val="0"/>
        <w:kinsoku/>
        <w:wordWrap/>
        <w:overflowPunct/>
        <w:topLinePunct w:val="0"/>
        <w:autoSpaceDE/>
        <w:autoSpaceDN/>
        <w:bidi w:val="0"/>
        <w:adjustRightInd w:val="0"/>
        <w:snapToGrid w:val="0"/>
        <w:spacing w:line="580" w:lineRule="exact"/>
        <w:ind w:right="0" w:rightChars="0" w:firstLine="420" w:firstLineChars="200"/>
        <w:textAlignment w:val="auto"/>
        <w:rPr>
          <w:rFonts w:hint="eastAsia" w:ascii="仿宋_GB2312" w:hAnsi="Times New Roman" w:eastAsia="仿宋_GB2312" w:cs="DengXian-Regular"/>
          <w:sz w:val="32"/>
          <w:szCs w:val="32"/>
          <w:highlight w:val="yellow"/>
          <w:lang w:val="en-US" w:eastAsia="zh-CN"/>
        </w:rPr>
      </w:pPr>
      <w:r>
        <w:pict>
          <v:shape id="_x0000_s1027" o:spid="_x0000_s1027" o:spt="75" type="#_x0000_t75" style="position:absolute;left:0pt;margin-left:31.8pt;margin-top:10.3pt;height:222.75pt;width:366.75pt;z-index:251676672;mso-width-relative:page;mso-height-relative:page;" o:ole="t" filled="f" o:preferrelative="t" stroked="f" coordsize="21600,21600">
            <v:path/>
            <v:fill on="f" focussize="0,0"/>
            <v:stroke on="f"/>
            <v:imagedata r:id="rId28" o:title=""/>
            <o:lock v:ext="edit" aspectratio="t"/>
          </v:shape>
          <o:OLEObject Type="Embed" ProgID="Excel.Chart.8" ShapeID="_x0000_s1027" DrawAspect="Content" ObjectID="_1468075727" r:id="rId27">
            <o:LockedField>false</o:LockedField>
          </o:OLEObject>
        </w:pict>
      </w:r>
    </w:p>
    <w:p>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hint="eastAsia" w:ascii="仿宋_GB2312" w:hAnsi="Times New Roman" w:eastAsia="仿宋_GB2312" w:cs="DengXian-Regular"/>
          <w:sz w:val="32"/>
          <w:szCs w:val="32"/>
          <w:highlight w:val="yellow"/>
          <w:lang w:val="en-US" w:eastAsia="zh-CN"/>
        </w:rPr>
      </w:pPr>
    </w:p>
    <w:p>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hint="eastAsia" w:ascii="仿宋_GB2312" w:hAnsi="Times New Roman" w:eastAsia="仿宋_GB2312" w:cs="DengXian-Regular"/>
          <w:sz w:val="32"/>
          <w:szCs w:val="32"/>
          <w:highlight w:val="yellow"/>
          <w:lang w:val="en-US" w:eastAsia="zh-CN"/>
        </w:rPr>
      </w:pPr>
    </w:p>
    <w:p>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hint="eastAsia" w:ascii="仿宋_GB2312" w:hAnsi="Times New Roman" w:eastAsia="仿宋_GB2312" w:cs="DengXian-Regular"/>
          <w:sz w:val="32"/>
          <w:szCs w:val="32"/>
          <w:highlight w:val="yellow"/>
          <w:lang w:val="en-US" w:eastAsia="zh-CN"/>
        </w:rPr>
      </w:pPr>
    </w:p>
    <w:p>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hint="eastAsia" w:ascii="仿宋_GB2312" w:hAnsi="Times New Roman" w:eastAsia="仿宋_GB2312" w:cs="DengXian-Regular"/>
          <w:sz w:val="32"/>
          <w:szCs w:val="32"/>
          <w:highlight w:val="yellow"/>
          <w:lang w:val="en-US" w:eastAsia="zh-CN"/>
        </w:rPr>
      </w:pPr>
    </w:p>
    <w:p>
      <w:pPr>
        <w:pageBreakBefore w:val="0"/>
        <w:widowControl w:val="0"/>
        <w:kinsoku/>
        <w:wordWrap/>
        <w:overflowPunct/>
        <w:topLinePunct w:val="0"/>
        <w:autoSpaceDE/>
        <w:autoSpaceDN/>
        <w:bidi w:val="0"/>
        <w:snapToGrid w:val="0"/>
        <w:spacing w:line="580" w:lineRule="exact"/>
        <w:ind w:right="0" w:rightChars="0" w:firstLine="643" w:firstLineChars="200"/>
        <w:textAlignment w:val="auto"/>
        <w:rPr>
          <w:rFonts w:hint="eastAsia" w:ascii="仿宋_GB2312" w:hAnsi="Times New Roman" w:eastAsia="仿宋_GB2312" w:cs="DengXian-Regular"/>
          <w:sz w:val="32"/>
          <w:szCs w:val="32"/>
          <w:highlight w:val="yellow"/>
          <w:lang w:val="en-US" w:eastAsia="zh-CN"/>
        </w:rPr>
      </w:pPr>
      <w:r>
        <w:rPr>
          <w:rFonts w:hint="eastAsia" w:ascii="楷体_GB2312" w:hAnsi="Times New Roman" w:eastAsia="楷体_GB2312" w:cs="DengXian-Bold"/>
          <w:b/>
          <w:bCs/>
          <w:sz w:val="32"/>
          <w:szCs w:val="32"/>
        </w:rPr>
        <w:t>（二）财政拨款收支与年初预算数对比情况</w:t>
      </w:r>
    </w:p>
    <w:p>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eastAsia="zh-CN"/>
        </w:rPr>
        <w:t>2019年</w:t>
      </w:r>
      <w:r>
        <w:rPr>
          <w:rFonts w:hint="eastAsia" w:ascii="仿宋_GB2312" w:hAnsi="Times New Roman" w:eastAsia="仿宋_GB2312" w:cs="DengXian-Regular"/>
          <w:sz w:val="32"/>
          <w:szCs w:val="32"/>
        </w:rPr>
        <w:t>度</w:t>
      </w:r>
      <w:r>
        <w:rPr>
          <w:rFonts w:hint="eastAsia" w:ascii="仿宋_GB2312" w:hAnsi="Times New Roman" w:eastAsia="仿宋_GB2312" w:cs="DengXian-Regular"/>
          <w:sz w:val="32"/>
          <w:szCs w:val="32"/>
          <w:lang w:val="en-US" w:eastAsia="zh-CN"/>
        </w:rPr>
        <w:t>一般公共预算</w:t>
      </w:r>
      <w:r>
        <w:rPr>
          <w:rFonts w:hint="eastAsia" w:ascii="仿宋_GB2312" w:hAnsi="Times New Roman" w:eastAsia="仿宋_GB2312" w:cs="DengXian-Regular"/>
          <w:sz w:val="32"/>
          <w:szCs w:val="32"/>
        </w:rPr>
        <w:t>财政拨款收入</w:t>
      </w:r>
      <w:r>
        <w:rPr>
          <w:rFonts w:hint="eastAsia" w:ascii="仿宋_GB2312" w:hAnsi="Times New Roman" w:eastAsia="仿宋_GB2312" w:cs="DengXian-Regular"/>
          <w:sz w:val="32"/>
          <w:szCs w:val="32"/>
          <w:lang w:val="en-US" w:eastAsia="zh-CN"/>
        </w:rPr>
        <w:t>525.74万元，完成年初预算的107%,比年初预算增加37.61</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决算数大于预算数主要原因</w:t>
      </w:r>
      <w:r>
        <w:rPr>
          <w:rFonts w:hint="eastAsia" w:ascii="仿宋_GB2312" w:hAnsi="Times New Roman" w:eastAsia="仿宋_GB2312" w:cs="DengXian-Regular"/>
          <w:sz w:val="32"/>
          <w:szCs w:val="32"/>
        </w:rPr>
        <w:t>是</w:t>
      </w:r>
      <w:r>
        <w:rPr>
          <w:rFonts w:hint="eastAsia" w:ascii="仿宋_GB2312" w:hAnsi="Times New Roman" w:eastAsia="仿宋_GB2312" w:cs="DengXian-Regular"/>
          <w:sz w:val="32"/>
          <w:szCs w:val="32"/>
          <w:lang w:val="en-US" w:eastAsia="zh-CN"/>
        </w:rPr>
        <w:t>人员工资保险调整</w:t>
      </w:r>
      <w:r>
        <w:rPr>
          <w:rFonts w:hint="eastAsia" w:ascii="仿宋_GB2312" w:hAnsi="Times New Roman" w:eastAsia="仿宋_GB2312" w:cs="DengXian-Regular"/>
          <w:sz w:val="32"/>
          <w:szCs w:val="32"/>
        </w:rPr>
        <w:t>；本年支出</w:t>
      </w:r>
      <w:r>
        <w:rPr>
          <w:rFonts w:hint="eastAsia" w:ascii="仿宋_GB2312" w:hAnsi="Times New Roman" w:eastAsia="仿宋_GB2312" w:cs="DengXian-Regular"/>
          <w:sz w:val="32"/>
          <w:szCs w:val="32"/>
          <w:lang w:val="en-US" w:eastAsia="zh-CN"/>
        </w:rPr>
        <w:t>548.97万元，完成年初预算的112%,比年初预算增加60.85</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决算数大于预算数主要原因</w:t>
      </w:r>
      <w:r>
        <w:rPr>
          <w:rFonts w:hint="eastAsia" w:ascii="仿宋_GB2312" w:hAnsi="Times New Roman" w:eastAsia="仿宋_GB2312" w:cs="DengXian-Regular"/>
          <w:sz w:val="32"/>
          <w:szCs w:val="32"/>
        </w:rPr>
        <w:t>是主要是</w:t>
      </w:r>
      <w:r>
        <w:rPr>
          <w:rFonts w:hint="eastAsia" w:ascii="仿宋_GB2312" w:hAnsi="Times New Roman" w:eastAsia="仿宋_GB2312" w:cs="DengXian-Regular"/>
          <w:sz w:val="32"/>
          <w:szCs w:val="32"/>
          <w:lang w:val="en-US" w:eastAsia="zh-CN"/>
        </w:rPr>
        <w:t>人员工资保险调整</w:t>
      </w:r>
      <w:r>
        <w:rPr>
          <w:rFonts w:hint="eastAsia" w:ascii="仿宋_GB2312" w:hAnsi="Times New Roman" w:eastAsia="仿宋_GB2312" w:cs="DengXian-Regular"/>
          <w:sz w:val="32"/>
          <w:szCs w:val="32"/>
        </w:rPr>
        <w:t>。</w:t>
      </w:r>
    </w:p>
    <w:p>
      <w:pPr>
        <w:pageBreakBefore w:val="0"/>
        <w:widowControl w:val="0"/>
        <w:kinsoku/>
        <w:wordWrap/>
        <w:overflowPunct/>
        <w:topLinePunct w:val="0"/>
        <w:autoSpaceDE/>
        <w:autoSpaceDN/>
        <w:bidi w:val="0"/>
        <w:adjustRightInd w:val="0"/>
        <w:snapToGrid w:val="0"/>
        <w:spacing w:line="580" w:lineRule="exact"/>
        <w:ind w:right="0" w:rightChars="0" w:firstLine="420" w:firstLineChars="200"/>
        <w:textAlignment w:val="auto"/>
        <w:rPr>
          <w:rFonts w:hint="eastAsia" w:ascii="仿宋_GB2312" w:hAnsi="Times New Roman" w:eastAsia="仿宋_GB2312" w:cs="DengXian-Regular"/>
          <w:sz w:val="32"/>
          <w:szCs w:val="32"/>
          <w:highlight w:val="yellow"/>
          <w:lang w:val="en-US" w:eastAsia="zh-CN"/>
        </w:rPr>
      </w:pPr>
      <w:r>
        <w:pict>
          <v:shape id="_x0000_s1028" o:spid="_x0000_s1028" o:spt="75" type="#_x0000_t75" style="position:absolute;left:0pt;margin-left:14.3pt;margin-top:7.35pt;height:222.75pt;width:366.75pt;z-index:251678720;mso-width-relative:page;mso-height-relative:page;" o:ole="t" filled="f" o:preferrelative="t" stroked="f" coordsize="21600,21600">
            <v:path/>
            <v:fill on="f" focussize="0,0"/>
            <v:stroke on="f"/>
            <v:imagedata r:id="rId30" o:title=""/>
            <o:lock v:ext="edit" aspectratio="t"/>
          </v:shape>
          <o:OLEObject Type="Embed" ProgID="Excel.Chart.8" ShapeID="_x0000_s1028" DrawAspect="Content" ObjectID="_1468075728" r:id="rId29">
            <o:LockedField>false</o:LockedField>
          </o:OLEObject>
        </w:pict>
      </w:r>
    </w:p>
    <w:p>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hint="eastAsia" w:ascii="仿宋_GB2312" w:hAnsi="Times New Roman" w:eastAsia="仿宋_GB2312" w:cs="DengXian-Regular"/>
          <w:sz w:val="32"/>
          <w:szCs w:val="32"/>
          <w:highlight w:val="yellow"/>
          <w:lang w:val="en-US" w:eastAsia="zh-CN"/>
        </w:rPr>
      </w:pPr>
    </w:p>
    <w:p>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hint="eastAsia" w:ascii="仿宋_GB2312" w:hAnsi="Times New Roman" w:eastAsia="仿宋_GB2312" w:cs="DengXian-Regular"/>
          <w:sz w:val="32"/>
          <w:szCs w:val="32"/>
          <w:highlight w:val="yellow"/>
        </w:rPr>
      </w:pPr>
    </w:p>
    <w:p>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hint="eastAsia" w:ascii="仿宋_GB2312" w:hAnsi="Times New Roman" w:eastAsia="仿宋_GB2312" w:cs="DengXian-Regular"/>
          <w:sz w:val="32"/>
          <w:szCs w:val="32"/>
          <w:highlight w:val="yellow"/>
        </w:rPr>
      </w:pPr>
    </w:p>
    <w:p>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hint="eastAsia" w:ascii="仿宋_GB2312" w:hAnsi="Times New Roman" w:eastAsia="仿宋_GB2312" w:cs="DengXian-Regular"/>
          <w:sz w:val="32"/>
          <w:szCs w:val="32"/>
          <w:highlight w:val="yellow"/>
        </w:rPr>
      </w:pPr>
    </w:p>
    <w:p>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hint="eastAsia" w:ascii="仿宋_GB2312" w:hAnsi="Times New Roman" w:eastAsia="仿宋_GB2312" w:cs="DengXian-Regular"/>
          <w:sz w:val="32"/>
          <w:szCs w:val="32"/>
          <w:highlight w:val="yellow"/>
        </w:rPr>
      </w:pPr>
    </w:p>
    <w:p>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hint="eastAsia" w:ascii="仿宋_GB2312" w:hAnsi="Times New Roman" w:eastAsia="仿宋_GB2312" w:cs="DengXian-Regular"/>
          <w:sz w:val="32"/>
          <w:szCs w:val="32"/>
          <w:highlight w:val="yellow"/>
        </w:rPr>
      </w:pPr>
    </w:p>
    <w:p>
      <w:pPr>
        <w:pageBreakBefore w:val="0"/>
        <w:widowControl w:val="0"/>
        <w:kinsoku/>
        <w:wordWrap/>
        <w:overflowPunct/>
        <w:topLinePunct w:val="0"/>
        <w:autoSpaceDE/>
        <w:autoSpaceDN/>
        <w:bidi w:val="0"/>
        <w:adjustRightInd w:val="0"/>
        <w:snapToGrid w:val="0"/>
        <w:spacing w:line="580" w:lineRule="exact"/>
        <w:ind w:right="0" w:rightChars="0"/>
        <w:textAlignment w:val="auto"/>
        <w:rPr>
          <w:rFonts w:hint="eastAsia" w:ascii="仿宋_GB2312" w:hAnsi="Times New Roman" w:eastAsia="仿宋_GB2312" w:cs="DengXian-Regular"/>
          <w:sz w:val="32"/>
          <w:szCs w:val="32"/>
          <w:highlight w:val="yellow"/>
        </w:rPr>
      </w:pPr>
    </w:p>
    <w:p>
      <w:pPr>
        <w:keepNext w:val="0"/>
        <w:keepLines w:val="0"/>
        <w:pageBreakBefore w:val="0"/>
        <w:widowControl w:val="0"/>
        <w:numPr>
          <w:ilvl w:val="0"/>
          <w:numId w:val="1"/>
        </w:numPr>
        <w:kinsoku/>
        <w:wordWrap/>
        <w:overflowPunct/>
        <w:topLinePunct w:val="0"/>
        <w:autoSpaceDE/>
        <w:autoSpaceDN/>
        <w:bidi w:val="0"/>
        <w:adjustRightInd w:val="0"/>
        <w:snapToGrid w:val="0"/>
        <w:spacing w:line="580" w:lineRule="exact"/>
        <w:ind w:leftChars="200" w:right="0" w:rightChars="0"/>
        <w:textAlignment w:val="auto"/>
        <w:rPr>
          <w:rFonts w:hint="eastAsia" w:ascii="楷体_GB2312" w:hAnsi="Times New Roman" w:eastAsia="楷体_GB2312" w:cs="DengXian-Bold"/>
          <w:b/>
          <w:bCs/>
          <w:sz w:val="32"/>
          <w:szCs w:val="32"/>
          <w:lang w:val="en-US" w:eastAsia="zh-CN"/>
        </w:rPr>
      </w:pPr>
      <w:r>
        <w:rPr>
          <w:rFonts w:hint="eastAsia" w:ascii="楷体_GB2312" w:hAnsi="Times New Roman" w:eastAsia="楷体_GB2312" w:cs="DengXian-Bold"/>
          <w:b/>
          <w:bCs/>
          <w:sz w:val="32"/>
          <w:szCs w:val="32"/>
          <w:lang w:val="en-US" w:eastAsia="zh-CN"/>
        </w:rPr>
        <w:t>财政拨款支出决算结构情况。</w:t>
      </w:r>
    </w:p>
    <w:p>
      <w:pPr>
        <w:keepNext w:val="0"/>
        <w:keepLines w:val="0"/>
        <w:pageBreakBefore w:val="0"/>
        <w:widowControl w:val="0"/>
        <w:kinsoku/>
        <w:wordWrap/>
        <w:overflowPunct/>
        <w:topLinePunct w:val="0"/>
        <w:autoSpaceDE/>
        <w:autoSpaceDN/>
        <w:bidi w:val="0"/>
        <w:adjustRightInd w:val="0"/>
        <w:snapToGrid w:val="0"/>
        <w:spacing w:after="160" w:line="560" w:lineRule="exact"/>
        <w:ind w:firstLine="630" w:firstLineChars="300"/>
        <w:jc w:val="left"/>
        <w:textAlignment w:val="auto"/>
        <w:rPr>
          <w:rFonts w:ascii="楷体_GB2312" w:hAnsi="Times New Roman" w:eastAsia="楷体_GB2312" w:cs="DengXian-Bold"/>
          <w:b/>
          <w:bCs/>
          <w:sz w:val="32"/>
          <w:szCs w:val="32"/>
        </w:rPr>
      </w:pPr>
      <w:r>
        <w:pict>
          <v:shape id="_x0000_s1030" o:spid="_x0000_s1030" o:spt="75" type="#_x0000_t75" style="position:absolute;left:0pt;margin-left:44.25pt;margin-top:83.15pt;height:231pt;width:366.75pt;z-index:251679744;mso-width-relative:page;mso-height-relative:page;" o:ole="t" filled="f" o:preferrelative="t" stroked="f" coordsize="21600,21600">
            <v:path/>
            <v:fill on="f" focussize="0,0"/>
            <v:stroke on="f"/>
            <v:imagedata r:id="rId32" o:title=""/>
            <o:lock v:ext="edit" aspectratio="t"/>
          </v:shape>
          <o:OLEObject Type="Embed" ProgID="Excel.Chart.8" ShapeID="_x0000_s1030" DrawAspect="Content" ObjectID="_1468075729" r:id="rId31">
            <o:LockedField>false</o:LockedField>
          </o:OLEObject>
        </w:pict>
      </w:r>
      <w:r>
        <w:rPr>
          <w:rFonts w:hint="eastAsia" w:ascii="仿宋_GB2312" w:hAnsi="Times New Roman" w:eastAsia="仿宋_GB2312" w:cs="DengXian-Regular"/>
          <w:sz w:val="32"/>
          <w:szCs w:val="32"/>
          <w:lang w:val="en-US" w:eastAsia="zh-CN"/>
        </w:rPr>
        <w:t>2019 年度财政拨款支出548.97万元，</w:t>
      </w:r>
      <w:r>
        <w:rPr>
          <w:rFonts w:hint="eastAsia" w:ascii="仿宋_GB2312" w:hAnsi="Times New Roman" w:eastAsia="仿宋_GB2312" w:cs="DengXian-Regular"/>
          <w:sz w:val="32"/>
          <w:szCs w:val="32"/>
        </w:rPr>
        <w:t>主要用于文化</w:t>
      </w:r>
      <w:r>
        <w:rPr>
          <w:rFonts w:hint="eastAsia" w:ascii="仿宋_GB2312" w:hAnsi="Times New Roman" w:eastAsia="仿宋_GB2312" w:cs="DengXian-Regular"/>
          <w:sz w:val="32"/>
          <w:szCs w:val="32"/>
          <w:lang w:val="en-US" w:eastAsia="zh-CN"/>
        </w:rPr>
        <w:t>旅游</w:t>
      </w:r>
      <w:r>
        <w:rPr>
          <w:rFonts w:hint="eastAsia" w:ascii="仿宋_GB2312" w:hAnsi="Times New Roman" w:eastAsia="仿宋_GB2312" w:cs="DengXian-Regular"/>
          <w:sz w:val="32"/>
          <w:szCs w:val="32"/>
        </w:rPr>
        <w:t>体育和传媒支出，支出</w:t>
      </w:r>
      <w:r>
        <w:rPr>
          <w:rFonts w:hint="eastAsia" w:ascii="仿宋_GB2312" w:hAnsi="Times New Roman" w:eastAsia="仿宋_GB2312" w:cs="DengXian-Regular"/>
          <w:sz w:val="32"/>
          <w:szCs w:val="32"/>
          <w:lang w:val="en-US" w:eastAsia="zh-CN"/>
        </w:rPr>
        <w:t>528.97万</w:t>
      </w:r>
      <w:r>
        <w:rPr>
          <w:rFonts w:hint="eastAsia" w:ascii="仿宋_GB2312" w:hAnsi="Times New Roman" w:eastAsia="仿宋_GB2312" w:cs="DengXian-Regular"/>
          <w:sz w:val="32"/>
          <w:szCs w:val="32"/>
        </w:rPr>
        <w:t>元，占</w:t>
      </w:r>
      <w:r>
        <w:rPr>
          <w:rFonts w:ascii="仿宋_GB2312" w:hAnsi="Times New Roman" w:eastAsia="仿宋_GB2312" w:cs="DengXian-Regular"/>
          <w:sz w:val="32"/>
          <w:szCs w:val="32"/>
        </w:rPr>
        <w:t>9</w:t>
      </w:r>
      <w:r>
        <w:rPr>
          <w:rFonts w:hint="eastAsia" w:ascii="仿宋_GB2312" w:hAnsi="Times New Roman" w:eastAsia="仿宋_GB2312" w:cs="DengXian-Regular"/>
          <w:sz w:val="32"/>
          <w:szCs w:val="32"/>
          <w:lang w:val="en-US" w:eastAsia="zh-CN"/>
        </w:rPr>
        <w:t>6</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。其他文化体育和传媒支出</w:t>
      </w:r>
      <w:r>
        <w:rPr>
          <w:rFonts w:hint="eastAsia" w:ascii="仿宋_GB2312" w:hAnsi="Times New Roman" w:eastAsia="仿宋_GB2312" w:cs="DengXian-Regular"/>
          <w:sz w:val="32"/>
          <w:szCs w:val="32"/>
          <w:lang w:val="en-US" w:eastAsia="zh-CN"/>
        </w:rPr>
        <w:t>20万</w:t>
      </w:r>
      <w:r>
        <w:rPr>
          <w:rFonts w:hint="eastAsia" w:ascii="仿宋_GB2312" w:hAnsi="Times New Roman" w:eastAsia="仿宋_GB2312" w:cs="DengXian-Regular"/>
          <w:sz w:val="32"/>
          <w:szCs w:val="32"/>
        </w:rPr>
        <w:t>元，占</w:t>
      </w:r>
      <w:r>
        <w:rPr>
          <w:rFonts w:ascii="仿宋_GB2312" w:hAnsi="Times New Roman" w:eastAsia="仿宋_GB2312" w:cs="DengXian-Regular"/>
          <w:sz w:val="32"/>
          <w:szCs w:val="32"/>
        </w:rPr>
        <w:t>0.</w:t>
      </w:r>
      <w:r>
        <w:rPr>
          <w:rFonts w:hint="eastAsia" w:ascii="仿宋_GB2312" w:hAnsi="Times New Roman" w:eastAsia="仿宋_GB2312" w:cs="DengXian-Regular"/>
          <w:sz w:val="32"/>
          <w:szCs w:val="32"/>
          <w:lang w:val="en-US" w:eastAsia="zh-CN"/>
        </w:rPr>
        <w:t>4</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right="0" w:rightChars="0"/>
        <w:jc w:val="both"/>
        <w:textAlignment w:val="auto"/>
        <w:rPr>
          <w:rFonts w:hint="eastAsia" w:ascii="楷体_GB2312" w:hAnsi="Times New Roman" w:eastAsia="楷体_GB2312" w:cs="DengXian-Bold"/>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right="0" w:rightChars="0"/>
        <w:jc w:val="both"/>
        <w:textAlignment w:val="auto"/>
        <w:rPr>
          <w:rFonts w:hint="eastAsia" w:ascii="楷体_GB2312" w:hAnsi="Times New Roman" w:eastAsia="楷体_GB2312" w:cs="DengXian-Bold"/>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right="0" w:rightChars="0"/>
        <w:textAlignment w:val="auto"/>
        <w:rPr>
          <w:rFonts w:hint="eastAsia" w:ascii="楷体_GB2312" w:hAnsi="Times New Roman" w:eastAsia="楷体_GB2312" w:cs="DengXian-Bold"/>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right="0" w:rightChars="0" w:firstLine="321" w:firstLineChars="100"/>
        <w:textAlignment w:val="auto"/>
        <w:rPr>
          <w:rFonts w:hint="eastAsia" w:ascii="楷体_GB2312" w:hAnsi="Times New Roman" w:eastAsia="楷体_GB2312" w:cs="DengXian-Bold"/>
          <w:b/>
          <w:bCs/>
          <w:sz w:val="32"/>
          <w:szCs w:val="32"/>
          <w:lang w:val="en-US" w:eastAsia="zh-CN"/>
        </w:rPr>
      </w:pPr>
      <w:r>
        <w:rPr>
          <w:rFonts w:hint="eastAsia" w:ascii="楷体_GB2312" w:hAnsi="Times New Roman" w:eastAsia="楷体_GB2312" w:cs="DengXian-Bold"/>
          <w:b/>
          <w:bCs/>
          <w:sz w:val="32"/>
          <w:szCs w:val="32"/>
          <w:lang w:val="en-US" w:eastAsia="zh-CN"/>
        </w:rPr>
        <w:t>（四）一般公共预算基本支出决算情况说明</w:t>
      </w:r>
    </w:p>
    <w:p>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2019 年度财政拨款基本支出311.10万元，其中：人员经费 281.36万元，主要包括基本工资61.28万元、津贴补贴13.38万元、奖金27.25万元、绩效工资60.96万元、机关事业单位基本养老保险缴费34.16万元、职业年金缴费9.54万元、职工基本医疗保险缴费7.83万元、公务员医疗补助缴费14.92万元、住房公积金13.23万元、其他社会保障缴费1.86万元、其他工资福利支出2.74万元、退休费34.14万元、奖励金0.07万元；公用经费 29.74万元，主要包括办公费3.36万元、邮电费0.3万元、差旅费0.8万元、劳务费19.41万元、工会经费1.34万元、福利费1.3万元、公务用车运行维护费2.25万元、其他商品和服务支出0.98万元。</w:t>
      </w:r>
    </w:p>
    <w:p>
      <w:pPr>
        <w:keepNext/>
        <w:keepLines/>
        <w:pageBreakBefore w:val="0"/>
        <w:widowControl w:val="0"/>
        <w:kinsoku/>
        <w:wordWrap/>
        <w:overflowPunct/>
        <w:topLinePunct w:val="0"/>
        <w:autoSpaceDE/>
        <w:autoSpaceDN/>
        <w:bidi w:val="0"/>
        <w:snapToGrid w:val="0"/>
        <w:spacing w:line="580" w:lineRule="exact"/>
        <w:ind w:right="0" w:rightChars="0" w:firstLine="640" w:firstLineChars="200"/>
        <w:jc w:val="both"/>
        <w:textAlignment w:val="auto"/>
        <w:outlineLvl w:val="1"/>
        <w:rPr>
          <w:rFonts w:hint="eastAsia" w:ascii="黑体" w:hAnsi="Calibri" w:eastAsia="黑体" w:cs="Times New Roman"/>
          <w:b w:val="0"/>
          <w:bCs w:val="0"/>
          <w:kern w:val="2"/>
          <w:sz w:val="32"/>
          <w:szCs w:val="32"/>
          <w:lang w:val="en-US" w:eastAsia="zh-CN" w:bidi="ar-SA"/>
        </w:rPr>
      </w:pPr>
      <w:r>
        <w:rPr>
          <w:rFonts w:hint="eastAsia" w:ascii="黑体" w:hAnsi="Calibri" w:eastAsia="黑体" w:cs="Times New Roman"/>
          <w:b w:val="0"/>
          <w:bCs w:val="0"/>
          <w:kern w:val="2"/>
          <w:sz w:val="32"/>
          <w:szCs w:val="32"/>
          <w:lang w:val="en-US" w:eastAsia="zh-CN" w:bidi="ar-SA"/>
        </w:rPr>
        <w:t>五、一般公共预算“三公” 经费支出决算情况说明</w:t>
      </w:r>
    </w:p>
    <w:p>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eastAsia="zh-CN"/>
        </w:rPr>
        <w:t>2019年</w:t>
      </w:r>
      <w:r>
        <w:rPr>
          <w:rFonts w:hint="eastAsia" w:ascii="仿宋_GB2312" w:hAnsi="Times New Roman" w:eastAsia="仿宋_GB2312" w:cs="DengXian-Regular"/>
          <w:sz w:val="32"/>
          <w:szCs w:val="32"/>
        </w:rPr>
        <w:t>度“三公”经费支出共计</w:t>
      </w:r>
      <w:r>
        <w:rPr>
          <w:rFonts w:hint="eastAsia" w:ascii="仿宋_GB2312" w:hAnsi="Times New Roman" w:eastAsia="仿宋_GB2312" w:cs="DengXian-Regular"/>
          <w:sz w:val="32"/>
          <w:szCs w:val="32"/>
          <w:lang w:val="en-US" w:eastAsia="zh-CN"/>
        </w:rPr>
        <w:t>2.25</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完成预算的</w:t>
      </w:r>
      <w:r>
        <w:rPr>
          <w:rFonts w:hint="eastAsia" w:ascii="仿宋_GB2312" w:hAnsi="Times New Roman" w:eastAsia="仿宋_GB2312" w:cs="DengXian-Regular"/>
          <w:sz w:val="32"/>
          <w:szCs w:val="32"/>
          <w:lang w:val="en-US" w:eastAsia="zh-CN"/>
        </w:rPr>
        <w:t>90%,</w:t>
      </w:r>
      <w:r>
        <w:rPr>
          <w:rFonts w:hint="eastAsia" w:ascii="仿宋_GB2312" w:hAnsi="Times New Roman" w:eastAsia="仿宋_GB2312" w:cs="DengXian-Regular"/>
          <w:b w:val="0"/>
          <w:bCs w:val="0"/>
          <w:sz w:val="32"/>
          <w:szCs w:val="32"/>
        </w:rPr>
        <w:t>较预算减少</w:t>
      </w:r>
      <w:r>
        <w:rPr>
          <w:rFonts w:hint="eastAsia" w:ascii="仿宋_GB2312" w:hAnsi="Times New Roman" w:eastAsia="仿宋_GB2312" w:cs="DengXian-Regular"/>
          <w:b w:val="0"/>
          <w:bCs w:val="0"/>
          <w:sz w:val="32"/>
          <w:szCs w:val="32"/>
          <w:lang w:val="en-US" w:eastAsia="zh-CN"/>
        </w:rPr>
        <w:t>0.25</w:t>
      </w:r>
      <w:r>
        <w:rPr>
          <w:rFonts w:hint="eastAsia" w:ascii="仿宋_GB2312" w:hAnsi="Times New Roman" w:eastAsia="仿宋_GB2312" w:cs="DengXian-Regular"/>
          <w:b w:val="0"/>
          <w:bCs w:val="0"/>
          <w:sz w:val="32"/>
          <w:szCs w:val="32"/>
        </w:rPr>
        <w:t>万元，降低</w:t>
      </w:r>
      <w:r>
        <w:rPr>
          <w:rFonts w:hint="eastAsia" w:ascii="仿宋_GB2312" w:hAnsi="Times New Roman" w:eastAsia="仿宋_GB2312" w:cs="DengXian-Regular"/>
          <w:b w:val="0"/>
          <w:bCs w:val="0"/>
          <w:sz w:val="32"/>
          <w:szCs w:val="32"/>
          <w:lang w:val="en-US" w:eastAsia="zh-CN"/>
        </w:rPr>
        <w:t>11.1</w:t>
      </w:r>
      <w:r>
        <w:rPr>
          <w:rFonts w:hint="eastAsia" w:ascii="仿宋_GB2312" w:hAnsi="Times New Roman" w:eastAsia="仿宋_GB2312" w:cs="DengXian-Regular"/>
          <w:b w:val="0"/>
          <w:bCs w:val="0"/>
          <w:sz w:val="32"/>
          <w:szCs w:val="32"/>
        </w:rPr>
        <w:t>%，</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车辆保险费剩余</w:t>
      </w:r>
      <w:r>
        <w:rPr>
          <w:rFonts w:hint="eastAsia" w:ascii="仿宋_GB2312" w:hAnsi="Times New Roman" w:eastAsia="仿宋_GB2312" w:cs="DengXian-Regular"/>
          <w:sz w:val="32"/>
          <w:szCs w:val="32"/>
        </w:rPr>
        <w:t>；较</w:t>
      </w:r>
      <w:r>
        <w:rPr>
          <w:rFonts w:hint="eastAsia" w:ascii="仿宋_GB2312" w:hAnsi="Times New Roman" w:eastAsia="仿宋_GB2312" w:cs="DengXian-Regular"/>
          <w:sz w:val="32"/>
          <w:szCs w:val="32"/>
          <w:lang w:val="en-US" w:eastAsia="zh-CN"/>
        </w:rPr>
        <w:t>2018</w:t>
      </w:r>
      <w:r>
        <w:rPr>
          <w:rFonts w:hint="eastAsia" w:ascii="仿宋_GB2312" w:hAnsi="Times New Roman" w:eastAsia="仿宋_GB2312" w:cs="DengXian-Regular"/>
          <w:sz w:val="32"/>
          <w:szCs w:val="32"/>
          <w:lang w:eastAsia="zh-CN"/>
        </w:rPr>
        <w:t>年</w:t>
      </w:r>
      <w:r>
        <w:rPr>
          <w:rFonts w:hint="eastAsia" w:ascii="仿宋_GB2312" w:hAnsi="Times New Roman" w:eastAsia="仿宋_GB2312" w:cs="DengXian-Regular"/>
          <w:sz w:val="32"/>
          <w:szCs w:val="32"/>
        </w:rPr>
        <w:t>度减少</w:t>
      </w:r>
      <w:r>
        <w:rPr>
          <w:rFonts w:hint="eastAsia" w:ascii="仿宋_GB2312" w:hAnsi="Times New Roman" w:eastAsia="仿宋_GB2312" w:cs="DengXian-Regular"/>
          <w:sz w:val="32"/>
          <w:szCs w:val="32"/>
          <w:lang w:val="en-US" w:eastAsia="zh-CN"/>
        </w:rPr>
        <w:t>0.04</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0.16</w:t>
      </w:r>
      <w:r>
        <w:rPr>
          <w:rFonts w:hint="eastAsia" w:ascii="仿宋_GB2312" w:hAnsi="Times New Roman" w:eastAsia="仿宋_GB2312" w:cs="DengXian-Regular"/>
          <w:sz w:val="32"/>
          <w:szCs w:val="32"/>
        </w:rPr>
        <w:t>%，主要</w:t>
      </w:r>
      <w:r>
        <w:rPr>
          <w:rFonts w:hint="eastAsia" w:ascii="仿宋_GB2312" w:hAnsi="Times New Roman" w:eastAsia="仿宋_GB2312" w:cs="DengXian-Regular"/>
          <w:sz w:val="32"/>
          <w:szCs w:val="32"/>
          <w:lang w:val="en-US" w:eastAsia="zh-CN"/>
        </w:rPr>
        <w:t>是单位合理安排用车</w:t>
      </w:r>
      <w:r>
        <w:rPr>
          <w:rFonts w:hint="eastAsia" w:ascii="仿宋_GB2312" w:hAnsi="Times New Roman" w:eastAsia="仿宋_GB2312" w:cs="DengXian-Regular"/>
          <w:sz w:val="32"/>
          <w:szCs w:val="32"/>
        </w:rPr>
        <w:t>。具体情况如下：</w:t>
      </w:r>
    </w:p>
    <w:p>
      <w:pPr>
        <w:pageBreakBefore w:val="0"/>
        <w:widowControl w:val="0"/>
        <w:kinsoku/>
        <w:wordWrap/>
        <w:overflowPunct/>
        <w:topLinePunct w:val="0"/>
        <w:autoSpaceDE/>
        <w:autoSpaceDN/>
        <w:bidi w:val="0"/>
        <w:adjustRightInd w:val="0"/>
        <w:snapToGrid w:val="0"/>
        <w:spacing w:line="580" w:lineRule="exact"/>
        <w:ind w:right="0" w:rightChars="0" w:firstLine="643" w:firstLineChars="200"/>
        <w:textAlignment w:val="auto"/>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（一）因公出国（境）费支出</w:t>
      </w:r>
      <w:r>
        <w:rPr>
          <w:rFonts w:hint="eastAsia" w:ascii="楷体_GB2312" w:hAnsi="Times New Roman" w:eastAsia="楷体_GB2312" w:cs="DengXian-Bold"/>
          <w:b/>
          <w:bCs/>
          <w:sz w:val="32"/>
          <w:szCs w:val="32"/>
          <w:lang w:val="en-US" w:eastAsia="zh-CN"/>
        </w:rPr>
        <w:t>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eastAsia="zh-CN"/>
        </w:rPr>
        <w:t>2019年</w:t>
      </w:r>
      <w:r>
        <w:rPr>
          <w:rFonts w:hint="eastAsia" w:ascii="仿宋_GB2312" w:hAnsi="Times New Roman" w:eastAsia="仿宋_GB2312" w:cs="DengXian-Regular"/>
          <w:sz w:val="32"/>
          <w:szCs w:val="32"/>
        </w:rPr>
        <w:t>度因公出国（境）团组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w:t>
      </w:r>
      <w:r>
        <w:rPr>
          <w:rFonts w:hint="eastAsia" w:ascii="仿宋_GB2312" w:hAnsi="Times New Roman" w:eastAsia="仿宋_GB2312" w:cs="DengXian-Regular"/>
          <w:sz w:val="32"/>
          <w:szCs w:val="32"/>
          <w:lang w:val="en-US" w:eastAsia="zh-CN"/>
        </w:rPr>
        <w:t>/</w:t>
      </w:r>
      <w:r>
        <w:rPr>
          <w:rFonts w:hint="eastAsia" w:ascii="仿宋_GB2312" w:hAnsi="Times New Roman" w:eastAsia="仿宋_GB2312" w:cs="DengXian-Regular"/>
          <w:sz w:val="32"/>
          <w:szCs w:val="32"/>
        </w:rPr>
        <w:t>参加其他单位组织的因公出国（境）团组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人/无本单位组织的出国（境）团组。因公出国（境）费支出较预算</w:t>
      </w:r>
      <w:r>
        <w:rPr>
          <w:rFonts w:hint="eastAsia" w:ascii="仿宋_GB2312" w:hAnsi="Times New Roman" w:eastAsia="仿宋_GB2312" w:cs="DengXian-Regular"/>
          <w:sz w:val="32"/>
          <w:szCs w:val="32"/>
          <w:lang w:val="en-US" w:eastAsia="zh-CN"/>
        </w:rPr>
        <w:t>无增减变化。</w:t>
      </w:r>
      <w:r>
        <w:rPr>
          <w:rFonts w:hint="eastAsia" w:ascii="仿宋_GB2312" w:hAnsi="Times New Roman" w:eastAsia="仿宋_GB2312" w:cs="DengXian-Regular"/>
          <w:sz w:val="32"/>
          <w:szCs w:val="32"/>
        </w:rPr>
        <w:t>较</w:t>
      </w:r>
      <w:r>
        <w:rPr>
          <w:rFonts w:hint="eastAsia" w:ascii="仿宋_GB2312" w:hAnsi="Times New Roman" w:eastAsia="仿宋_GB2312" w:cs="DengXian-Regular"/>
          <w:sz w:val="32"/>
          <w:szCs w:val="32"/>
          <w:lang w:val="en-US" w:eastAsia="zh-CN"/>
        </w:rPr>
        <w:t>上</w:t>
      </w:r>
      <w:r>
        <w:rPr>
          <w:rFonts w:hint="eastAsia" w:ascii="仿宋_GB2312" w:hAnsi="Times New Roman" w:eastAsia="仿宋_GB2312" w:cs="DengXian-Regular"/>
          <w:sz w:val="32"/>
          <w:szCs w:val="32"/>
          <w:lang w:eastAsia="zh-CN"/>
        </w:rPr>
        <w:t>年</w:t>
      </w:r>
      <w:r>
        <w:rPr>
          <w:rFonts w:hint="eastAsia" w:ascii="仿宋_GB2312" w:hAnsi="Times New Roman" w:eastAsia="仿宋_GB2312" w:cs="DengXian-Regular"/>
          <w:sz w:val="32"/>
          <w:szCs w:val="32"/>
          <w:lang w:val="en-US" w:eastAsia="zh-CN"/>
        </w:rPr>
        <w:t>无增减变化</w:t>
      </w:r>
      <w:r>
        <w:rPr>
          <w:rFonts w:hint="eastAsia" w:ascii="仿宋_GB2312" w:hAnsi="Times New Roman" w:eastAsia="仿宋_GB2312" w:cs="DengXian-Regular"/>
          <w:sz w:val="32"/>
          <w:szCs w:val="32"/>
        </w:rPr>
        <w:t>。</w:t>
      </w:r>
    </w:p>
    <w:p>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hint="eastAsia" w:ascii="仿宋_GB2312" w:hAnsi="Times New Roman" w:eastAsia="仿宋_GB2312" w:cs="DengXian-Regular"/>
          <w:sz w:val="32"/>
          <w:szCs w:val="32"/>
        </w:rPr>
      </w:pPr>
    </w:p>
    <w:p>
      <w:pPr>
        <w:pageBreakBefore w:val="0"/>
        <w:widowControl w:val="0"/>
        <w:kinsoku/>
        <w:wordWrap/>
        <w:overflowPunct/>
        <w:topLinePunct w:val="0"/>
        <w:autoSpaceDE/>
        <w:autoSpaceDN/>
        <w:bidi w:val="0"/>
        <w:adjustRightInd w:val="0"/>
        <w:snapToGrid w:val="0"/>
        <w:spacing w:line="580" w:lineRule="exact"/>
        <w:ind w:right="0" w:rightChars="0" w:firstLine="643" w:firstLineChars="200"/>
        <w:textAlignment w:val="auto"/>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（二）公务用车购置及运行维护费支出</w:t>
      </w:r>
      <w:r>
        <w:rPr>
          <w:rFonts w:hint="eastAsia" w:ascii="楷体_GB2312" w:hAnsi="Times New Roman" w:eastAsia="楷体_GB2312" w:cs="DengXian-Bold"/>
          <w:b/>
          <w:bCs/>
          <w:sz w:val="32"/>
          <w:szCs w:val="32"/>
          <w:lang w:val="en-US" w:eastAsia="zh-CN"/>
        </w:rPr>
        <w:t>2.25</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eastAsia="zh-CN"/>
        </w:rPr>
        <w:t>2019年</w:t>
      </w:r>
      <w:r>
        <w:rPr>
          <w:rFonts w:hint="eastAsia" w:ascii="仿宋_GB2312" w:hAnsi="Times New Roman" w:eastAsia="仿宋_GB2312" w:cs="DengXian-Regular"/>
          <w:sz w:val="32"/>
          <w:szCs w:val="32"/>
        </w:rPr>
        <w:t>度公务用车购置及运行维护费较预算减少</w:t>
      </w:r>
      <w:r>
        <w:rPr>
          <w:rFonts w:hint="eastAsia" w:ascii="仿宋_GB2312" w:hAnsi="Times New Roman" w:eastAsia="仿宋_GB2312" w:cs="DengXian-Regular"/>
          <w:sz w:val="32"/>
          <w:szCs w:val="32"/>
          <w:lang w:val="en-US" w:eastAsia="zh-CN"/>
        </w:rPr>
        <w:t>0.25</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11.1</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车辆保险费剩余</w:t>
      </w:r>
      <w:r>
        <w:rPr>
          <w:rFonts w:hint="eastAsia" w:ascii="仿宋_GB2312" w:hAnsi="Times New Roman" w:eastAsia="仿宋_GB2312" w:cs="DengXian-Regular"/>
          <w:sz w:val="32"/>
          <w:szCs w:val="32"/>
        </w:rPr>
        <w:t>；较</w:t>
      </w:r>
      <w:r>
        <w:rPr>
          <w:rFonts w:hint="eastAsia" w:ascii="仿宋_GB2312" w:hAnsi="Times New Roman" w:eastAsia="仿宋_GB2312" w:cs="DengXian-Regular"/>
          <w:sz w:val="32"/>
          <w:szCs w:val="32"/>
          <w:lang w:val="en-US" w:eastAsia="zh-CN"/>
        </w:rPr>
        <w:t>上</w:t>
      </w:r>
      <w:r>
        <w:rPr>
          <w:rFonts w:hint="eastAsia" w:ascii="仿宋_GB2312" w:hAnsi="Times New Roman" w:eastAsia="仿宋_GB2312" w:cs="DengXian-Regular"/>
          <w:sz w:val="32"/>
          <w:szCs w:val="32"/>
          <w:lang w:eastAsia="zh-CN"/>
        </w:rPr>
        <w:t>年</w:t>
      </w:r>
      <w:r>
        <w:rPr>
          <w:rFonts w:hint="eastAsia" w:ascii="仿宋_GB2312" w:hAnsi="Times New Roman" w:eastAsia="仿宋_GB2312" w:cs="DengXian-Regular"/>
          <w:sz w:val="32"/>
          <w:szCs w:val="32"/>
        </w:rPr>
        <w:t>减少</w:t>
      </w:r>
      <w:r>
        <w:rPr>
          <w:rFonts w:hint="eastAsia" w:ascii="仿宋_GB2312" w:hAnsi="Times New Roman" w:eastAsia="仿宋_GB2312" w:cs="DengXian-Regular"/>
          <w:sz w:val="32"/>
          <w:szCs w:val="32"/>
          <w:lang w:val="en-US" w:eastAsia="zh-CN"/>
        </w:rPr>
        <w:t>0.04</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0.16</w:t>
      </w:r>
      <w:r>
        <w:rPr>
          <w:rFonts w:hint="eastAsia" w:ascii="仿宋_GB2312" w:hAnsi="Times New Roman" w:eastAsia="仿宋_GB2312" w:cs="DengXian-Regular"/>
          <w:sz w:val="32"/>
          <w:szCs w:val="32"/>
        </w:rPr>
        <w:t>%,主要</w:t>
      </w:r>
      <w:r>
        <w:rPr>
          <w:rFonts w:hint="eastAsia" w:ascii="仿宋_GB2312" w:hAnsi="Times New Roman" w:eastAsia="仿宋_GB2312" w:cs="DengXian-Regular"/>
          <w:sz w:val="32"/>
          <w:szCs w:val="32"/>
          <w:lang w:val="en-US" w:eastAsia="zh-CN"/>
        </w:rPr>
        <w:t>是单位合理安排用车</w:t>
      </w:r>
      <w:r>
        <w:rPr>
          <w:rFonts w:hint="eastAsia" w:ascii="仿宋_GB2312" w:hAnsi="Times New Roman" w:eastAsia="仿宋_GB2312" w:cs="DengXian-Regular"/>
          <w:sz w:val="32"/>
          <w:szCs w:val="32"/>
        </w:rPr>
        <w:t>。</w:t>
      </w:r>
      <w:r>
        <w:rPr>
          <w:rFonts w:hint="eastAsia" w:ascii="仿宋_GB2312" w:hAnsi="Times New Roman" w:eastAsia="仿宋_GB2312" w:cs="DengXian-Bold"/>
          <w:b/>
          <w:bCs/>
          <w:sz w:val="32"/>
          <w:szCs w:val="32"/>
        </w:rPr>
        <w:t>其中：</w:t>
      </w:r>
    </w:p>
    <w:p>
      <w:pPr>
        <w:pageBreakBefore w:val="0"/>
        <w:widowControl w:val="0"/>
        <w:kinsoku/>
        <w:wordWrap/>
        <w:overflowPunct/>
        <w:topLinePunct w:val="0"/>
        <w:autoSpaceDE/>
        <w:autoSpaceDN/>
        <w:bidi w:val="0"/>
        <w:adjustRightInd w:val="0"/>
        <w:snapToGrid w:val="0"/>
        <w:spacing w:line="580" w:lineRule="exact"/>
        <w:ind w:right="0" w:rightChars="0" w:firstLine="643" w:firstLineChars="200"/>
        <w:textAlignment w:val="auto"/>
        <w:rPr>
          <w:rFonts w:hint="default" w:ascii="仿宋_GB2312" w:hAnsi="Times New Roman" w:eastAsia="仿宋_GB2312" w:cs="DengXian-Regular"/>
          <w:sz w:val="32"/>
          <w:szCs w:val="32"/>
          <w:lang w:val="en-US"/>
        </w:rPr>
      </w:pPr>
      <w:r>
        <w:rPr>
          <w:rFonts w:hint="eastAsia" w:ascii="仿宋_GB2312" w:hAnsi="Times New Roman" w:eastAsia="仿宋_GB2312" w:cs="DengXian-Regular"/>
          <w:b/>
          <w:sz w:val="32"/>
          <w:szCs w:val="32"/>
        </w:rPr>
        <w:t>公务用车购置费：</w:t>
      </w: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eastAsia="zh-CN"/>
        </w:rPr>
        <w:t>2019年</w:t>
      </w:r>
      <w:r>
        <w:rPr>
          <w:rFonts w:hint="eastAsia" w:ascii="仿宋_GB2312" w:hAnsi="Times New Roman" w:eastAsia="仿宋_GB2312" w:cs="DengXian-Regular"/>
          <w:sz w:val="32"/>
          <w:szCs w:val="32"/>
        </w:rPr>
        <w:t>度公务用车购置量</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辆，发生“公务用车购置”经费支出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万元。公务用车购置费支出较预算</w:t>
      </w:r>
      <w:r>
        <w:rPr>
          <w:rFonts w:hint="eastAsia" w:ascii="仿宋_GB2312" w:hAnsi="Times New Roman" w:eastAsia="仿宋_GB2312" w:cs="DengXian-Regular"/>
          <w:sz w:val="32"/>
          <w:szCs w:val="32"/>
          <w:lang w:val="en-US" w:eastAsia="zh-CN"/>
        </w:rPr>
        <w:t>无增减变化，未发生“公务用车购置”经费支出</w:t>
      </w:r>
      <w:r>
        <w:rPr>
          <w:rFonts w:hint="eastAsia" w:ascii="仿宋_GB2312" w:hAnsi="Times New Roman" w:eastAsia="仿宋_GB2312" w:cs="DengXian-Regular"/>
          <w:sz w:val="32"/>
          <w:szCs w:val="32"/>
        </w:rPr>
        <w:t>；较</w:t>
      </w:r>
      <w:r>
        <w:rPr>
          <w:rFonts w:hint="eastAsia" w:ascii="仿宋_GB2312" w:hAnsi="Times New Roman" w:eastAsia="仿宋_GB2312" w:cs="DengXian-Regular"/>
          <w:sz w:val="32"/>
          <w:szCs w:val="32"/>
          <w:lang w:val="en-US" w:eastAsia="zh-CN"/>
        </w:rPr>
        <w:t>上</w:t>
      </w:r>
      <w:r>
        <w:rPr>
          <w:rFonts w:hint="eastAsia" w:ascii="仿宋_GB2312" w:hAnsi="Times New Roman" w:eastAsia="仿宋_GB2312" w:cs="DengXian-Regular"/>
          <w:sz w:val="32"/>
          <w:szCs w:val="32"/>
          <w:lang w:eastAsia="zh-CN"/>
        </w:rPr>
        <w:t>年</w:t>
      </w:r>
      <w:r>
        <w:rPr>
          <w:rFonts w:hint="eastAsia" w:ascii="仿宋_GB2312" w:hAnsi="Times New Roman" w:eastAsia="仿宋_GB2312" w:cs="DengXian-Regular"/>
          <w:sz w:val="32"/>
          <w:szCs w:val="32"/>
          <w:lang w:val="en-US" w:eastAsia="zh-CN"/>
        </w:rPr>
        <w:t>无增减变化，未发生“公务用车购置”经费支出。</w:t>
      </w:r>
    </w:p>
    <w:p>
      <w:pPr>
        <w:pageBreakBefore w:val="0"/>
        <w:widowControl w:val="0"/>
        <w:kinsoku/>
        <w:wordWrap/>
        <w:overflowPunct/>
        <w:topLinePunct w:val="0"/>
        <w:autoSpaceDE/>
        <w:autoSpaceDN/>
        <w:bidi w:val="0"/>
        <w:adjustRightInd w:val="0"/>
        <w:snapToGrid w:val="0"/>
        <w:spacing w:line="580" w:lineRule="exact"/>
        <w:ind w:right="0" w:rightChars="0" w:firstLine="643" w:firstLineChars="200"/>
        <w:textAlignment w:val="auto"/>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公务用车运行维护费：</w:t>
      </w: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eastAsia="zh-CN"/>
        </w:rPr>
        <w:t>2019年</w:t>
      </w:r>
      <w:r>
        <w:rPr>
          <w:rFonts w:hint="eastAsia" w:ascii="仿宋_GB2312" w:hAnsi="Times New Roman" w:eastAsia="仿宋_GB2312" w:cs="DengXian-Regular"/>
          <w:sz w:val="32"/>
          <w:szCs w:val="32"/>
        </w:rPr>
        <w:t>度单位公务用车保有量</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DengXian-Regular"/>
          <w:sz w:val="32"/>
          <w:szCs w:val="32"/>
        </w:rPr>
        <w:t>辆。公车运行维护费支出较预算减少</w:t>
      </w:r>
      <w:r>
        <w:rPr>
          <w:rFonts w:hint="eastAsia" w:ascii="仿宋_GB2312" w:hAnsi="Times New Roman" w:eastAsia="仿宋_GB2312" w:cs="DengXian-Regular"/>
          <w:sz w:val="32"/>
          <w:szCs w:val="32"/>
          <w:lang w:val="en-US" w:eastAsia="zh-CN"/>
        </w:rPr>
        <w:t>0.25</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11.1</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车辆保险费的剩余</w:t>
      </w:r>
      <w:r>
        <w:rPr>
          <w:rFonts w:hint="eastAsia" w:ascii="仿宋_GB2312" w:hAnsi="Times New Roman" w:eastAsia="仿宋_GB2312" w:cs="DengXian-Regular"/>
          <w:sz w:val="32"/>
          <w:szCs w:val="32"/>
        </w:rPr>
        <w:t>；较</w:t>
      </w:r>
      <w:r>
        <w:rPr>
          <w:rFonts w:hint="eastAsia" w:ascii="仿宋_GB2312" w:hAnsi="Times New Roman" w:eastAsia="仿宋_GB2312" w:cs="DengXian-Regular"/>
          <w:sz w:val="32"/>
          <w:szCs w:val="32"/>
          <w:lang w:val="en-US" w:eastAsia="zh-CN"/>
        </w:rPr>
        <w:t>上</w:t>
      </w:r>
      <w:r>
        <w:rPr>
          <w:rFonts w:hint="eastAsia" w:ascii="仿宋_GB2312" w:hAnsi="Times New Roman" w:eastAsia="仿宋_GB2312" w:cs="DengXian-Regular"/>
          <w:sz w:val="32"/>
          <w:szCs w:val="32"/>
          <w:lang w:eastAsia="zh-CN"/>
        </w:rPr>
        <w:t>年</w:t>
      </w:r>
      <w:r>
        <w:rPr>
          <w:rFonts w:hint="eastAsia" w:ascii="仿宋_GB2312" w:hAnsi="Times New Roman" w:eastAsia="仿宋_GB2312" w:cs="DengXian-Regular"/>
          <w:sz w:val="32"/>
          <w:szCs w:val="32"/>
        </w:rPr>
        <w:t>减少</w:t>
      </w:r>
      <w:r>
        <w:rPr>
          <w:rFonts w:hint="eastAsia" w:ascii="仿宋_GB2312" w:hAnsi="Times New Roman" w:eastAsia="仿宋_GB2312" w:cs="DengXian-Regular"/>
          <w:sz w:val="32"/>
          <w:szCs w:val="32"/>
          <w:lang w:val="en-US" w:eastAsia="zh-CN"/>
        </w:rPr>
        <w:t>0.04</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0.16</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单位合理安排用车</w:t>
      </w:r>
      <w:r>
        <w:rPr>
          <w:rFonts w:hint="eastAsia" w:ascii="仿宋_GB2312" w:hAnsi="Times New Roman" w:eastAsia="仿宋_GB2312" w:cs="DengXian-Regular"/>
          <w:sz w:val="32"/>
          <w:szCs w:val="32"/>
        </w:rPr>
        <w:t>。</w:t>
      </w:r>
    </w:p>
    <w:p>
      <w:pPr>
        <w:pageBreakBefore w:val="0"/>
        <w:widowControl w:val="0"/>
        <w:kinsoku/>
        <w:wordWrap/>
        <w:overflowPunct/>
        <w:topLinePunct w:val="0"/>
        <w:autoSpaceDE/>
        <w:autoSpaceDN/>
        <w:bidi w:val="0"/>
        <w:adjustRightInd w:val="0"/>
        <w:snapToGrid w:val="0"/>
        <w:spacing w:line="580" w:lineRule="exact"/>
        <w:ind w:right="0" w:rightChars="0" w:firstLine="643" w:firstLineChars="200"/>
        <w:textAlignment w:val="auto"/>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（三）公务接待费支出</w:t>
      </w:r>
      <w:r>
        <w:rPr>
          <w:rFonts w:hint="eastAsia" w:ascii="楷体_GB2312" w:hAnsi="Times New Roman" w:eastAsia="楷体_GB2312" w:cs="DengXian-Bold"/>
          <w:b/>
          <w:bCs/>
          <w:sz w:val="32"/>
          <w:szCs w:val="32"/>
          <w:lang w:val="en-US" w:eastAsia="zh-CN"/>
        </w:rPr>
        <w:t>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eastAsia="zh-CN"/>
        </w:rPr>
        <w:t>2019年</w:t>
      </w:r>
      <w:r>
        <w:rPr>
          <w:rFonts w:hint="eastAsia" w:ascii="仿宋_GB2312" w:hAnsi="Times New Roman" w:eastAsia="仿宋_GB2312" w:cs="DengXian-Regular"/>
          <w:sz w:val="32"/>
          <w:szCs w:val="32"/>
        </w:rPr>
        <w:t>度公务接待共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批次、</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人次。公务接待费支出较预算</w:t>
      </w:r>
      <w:r>
        <w:rPr>
          <w:rFonts w:hint="eastAsia" w:ascii="仿宋_GB2312" w:hAnsi="Times New Roman" w:eastAsia="仿宋_GB2312" w:cs="DengXian-Regular"/>
          <w:sz w:val="32"/>
          <w:szCs w:val="32"/>
          <w:lang w:val="en-US" w:eastAsia="zh-CN"/>
        </w:rPr>
        <w:t>无增减变化</w:t>
      </w:r>
      <w:r>
        <w:rPr>
          <w:rFonts w:hint="eastAsia" w:ascii="仿宋_GB2312" w:hAnsi="Times New Roman" w:eastAsia="仿宋_GB2312" w:cs="DengXian-Regular"/>
          <w:sz w:val="32"/>
          <w:szCs w:val="32"/>
        </w:rPr>
        <w:t>；较</w:t>
      </w:r>
      <w:r>
        <w:rPr>
          <w:rFonts w:hint="eastAsia" w:ascii="仿宋_GB2312" w:hAnsi="Times New Roman" w:eastAsia="仿宋_GB2312" w:cs="DengXian-Regular"/>
          <w:sz w:val="32"/>
          <w:szCs w:val="32"/>
          <w:lang w:val="en-US" w:eastAsia="zh-CN"/>
        </w:rPr>
        <w:t>上</w:t>
      </w:r>
      <w:r>
        <w:rPr>
          <w:rFonts w:hint="eastAsia" w:ascii="仿宋_GB2312" w:hAnsi="Times New Roman" w:eastAsia="仿宋_GB2312" w:cs="DengXian-Regular"/>
          <w:sz w:val="32"/>
          <w:szCs w:val="32"/>
          <w:lang w:eastAsia="zh-CN"/>
        </w:rPr>
        <w:t>年</w:t>
      </w:r>
      <w:r>
        <w:rPr>
          <w:rFonts w:hint="eastAsia" w:ascii="仿宋_GB2312" w:hAnsi="Times New Roman" w:eastAsia="仿宋_GB2312" w:cs="DengXian-Regular"/>
          <w:sz w:val="32"/>
          <w:szCs w:val="32"/>
        </w:rPr>
        <w:t>度</w:t>
      </w:r>
      <w:r>
        <w:rPr>
          <w:rFonts w:hint="eastAsia" w:ascii="仿宋_GB2312" w:hAnsi="Times New Roman" w:eastAsia="仿宋_GB2312" w:cs="DengXian-Regular"/>
          <w:sz w:val="32"/>
          <w:szCs w:val="32"/>
          <w:lang w:val="en-US" w:eastAsia="zh-CN"/>
        </w:rPr>
        <w:t>无增减变化</w:t>
      </w:r>
      <w:r>
        <w:rPr>
          <w:rFonts w:hint="eastAsia" w:ascii="仿宋_GB2312" w:hAnsi="Times New Roman" w:eastAsia="仿宋_GB2312" w:cs="DengXian-Regular"/>
          <w:sz w:val="32"/>
          <w:szCs w:val="32"/>
        </w:rPr>
        <w:t>。</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outlineLvl w:val="9"/>
        <w:rPr>
          <w:rFonts w:hint="eastAsia" w:ascii="黑体" w:hAnsi="Times New Roman" w:eastAsia="黑体" w:cs="Times New Roman"/>
          <w:b w:val="0"/>
          <w:bCs w:val="0"/>
          <w:sz w:val="32"/>
          <w:szCs w:val="40"/>
        </w:rPr>
      </w:pPr>
      <w:r>
        <w:rPr>
          <w:rFonts w:hint="eastAsia" w:ascii="黑体" w:hAnsi="Times New Roman" w:eastAsia="黑体" w:cs="Times New Roman"/>
          <w:b w:val="0"/>
          <w:bCs w:val="0"/>
          <w:sz w:val="32"/>
          <w:szCs w:val="40"/>
        </w:rPr>
        <w:t>六、预算绩效情况说明</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3" w:firstLineChars="200"/>
        <w:jc w:val="both"/>
        <w:textAlignment w:val="auto"/>
        <w:outlineLvl w:val="9"/>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1. 预算绩效管理工作开展情况。</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根据预算绩效管理要求，本部门组织对2019年度一般公共预算项目支出全面开展绩效自评，其中，一级项目10个，共涉及资金233.37万元，占一般公共预算项目支出总额的96.51%。从评价情况来看，项目的组织管理基本有效，项目的产出达到预期目标，项目的社会效益显著。本部门客观公正地实施评价，为进一步规范预算项目管理、科学合理设置绩效目标提供依据，确保自评结果所反映的资金使用效益和公共服务质量全面、真实、准确、客观。</w:t>
      </w: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leftChars="200" w:right="0" w:rightChars="0" w:firstLine="321" w:firstLineChars="100"/>
        <w:jc w:val="both"/>
        <w:textAlignment w:val="auto"/>
        <w:outlineLvl w:val="9"/>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2. 部门决算中项目绩效自评结果。</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本部门在今年部门决算公开中反映区图书馆（总馆）年度购书费项目及读书（读者）活动及文化活动年度经费项目等10个项目绩效自评结果。</w:t>
      </w:r>
    </w:p>
    <w:p>
      <w:pPr>
        <w:spacing w:line="592" w:lineRule="exact"/>
        <w:ind w:firstLine="600"/>
        <w:rPr>
          <w:rFonts w:hint="eastAsia" w:ascii="仿宋" w:hAnsi="仿宋" w:eastAsia="仿宋"/>
          <w:sz w:val="30"/>
          <w:szCs w:val="30"/>
        </w:rPr>
      </w:pPr>
      <w:r>
        <w:rPr>
          <w:rFonts w:hint="eastAsia" w:ascii="仿宋_GB2312" w:hAnsi="仿宋_GB2312" w:eastAsia="仿宋_GB2312" w:cs="仿宋_GB2312"/>
          <w:b w:val="0"/>
          <w:bCs w:val="0"/>
          <w:kern w:val="2"/>
          <w:sz w:val="32"/>
          <w:szCs w:val="32"/>
          <w:lang w:val="en-US" w:eastAsia="zh-CN" w:bidi="ar-SA"/>
        </w:rPr>
        <w:t>（1）区图书馆（总馆）年度购书费项目自评综述：根据年初设定的绩效目标，区图书馆（总馆）年度购书费项目绩效自评得分为100分（绩效自评表附后）。全年预算数为50万元，执行数为50万元，完成预算的100%。项目绩效目标完成情况：优秀。</w:t>
      </w:r>
      <w:r>
        <w:rPr>
          <w:rFonts w:hint="eastAsia" w:ascii="仿宋_GB2312" w:hAnsi="仿宋_GB2312" w:eastAsia="仿宋_GB2312" w:cs="仿宋_GB2312"/>
          <w:b w:val="0"/>
          <w:bCs w:val="0"/>
          <w:color w:val="auto"/>
          <w:kern w:val="2"/>
          <w:sz w:val="32"/>
          <w:szCs w:val="32"/>
          <w:lang w:val="en-US" w:eastAsia="zh-CN" w:bidi="ar-SA"/>
        </w:rPr>
        <w:t>发现的主要问题及原因：一是部分读者认为图书馆的图书种类有待进一步丰富；二是部分受读者青睐的图书因副本量不足而无法满足读者所需。确实，新馆开馆试运行后，由于服务面积增大与读者数量的成倍增加，藏书量的增加仍显不足。图书馆需要不断扩大服务功能，延伸服务区域，也需要进一步扩大藏量、补充品种以满足读者的需求。下一步改进措施：</w:t>
      </w:r>
      <w:r>
        <w:rPr>
          <w:rFonts w:hint="eastAsia" w:ascii="仿宋" w:hAnsi="仿宋" w:eastAsia="仿宋"/>
          <w:sz w:val="30"/>
          <w:szCs w:val="30"/>
          <w:lang w:val="en-US" w:eastAsia="zh-CN"/>
        </w:rPr>
        <w:t>一是</w:t>
      </w:r>
      <w:r>
        <w:rPr>
          <w:rFonts w:hint="eastAsia" w:ascii="仿宋" w:hAnsi="仿宋" w:eastAsia="仿宋"/>
          <w:sz w:val="30"/>
          <w:szCs w:val="30"/>
        </w:rPr>
        <w:t>加快图书更新速度，如有好的新书出版及时采购引进到图书馆</w:t>
      </w:r>
      <w:r>
        <w:rPr>
          <w:rFonts w:hint="eastAsia" w:ascii="仿宋" w:hAnsi="仿宋" w:eastAsia="仿宋"/>
          <w:sz w:val="30"/>
          <w:szCs w:val="30"/>
          <w:lang w:eastAsia="zh-CN"/>
        </w:rPr>
        <w:t>；</w:t>
      </w:r>
      <w:r>
        <w:rPr>
          <w:rFonts w:hint="eastAsia" w:ascii="仿宋" w:hAnsi="仿宋" w:eastAsia="仿宋"/>
          <w:sz w:val="30"/>
          <w:szCs w:val="30"/>
          <w:lang w:val="en-US" w:eastAsia="zh-CN"/>
        </w:rPr>
        <w:t>二是</w:t>
      </w:r>
      <w:r>
        <w:rPr>
          <w:rFonts w:hint="eastAsia" w:ascii="仿宋" w:hAnsi="仿宋" w:eastAsia="仿宋"/>
          <w:sz w:val="30"/>
          <w:szCs w:val="30"/>
        </w:rPr>
        <w:t>经常收集读者的荐书意见，丰富藏书的种类，以满足各类读者的阅读需求</w:t>
      </w:r>
      <w:r>
        <w:rPr>
          <w:rFonts w:hint="eastAsia" w:ascii="仿宋" w:hAnsi="仿宋" w:eastAsia="仿宋"/>
          <w:sz w:val="30"/>
          <w:szCs w:val="30"/>
          <w:lang w:eastAsia="zh-CN"/>
        </w:rPr>
        <w:t>；</w:t>
      </w:r>
      <w:r>
        <w:rPr>
          <w:rFonts w:hint="eastAsia" w:ascii="仿宋" w:hAnsi="仿宋" w:eastAsia="仿宋"/>
          <w:sz w:val="30"/>
          <w:szCs w:val="30"/>
          <w:lang w:val="en-US" w:eastAsia="zh-CN"/>
        </w:rPr>
        <w:t>三是</w:t>
      </w:r>
      <w:r>
        <w:rPr>
          <w:rFonts w:hint="eastAsia" w:ascii="仿宋" w:hAnsi="仿宋" w:eastAsia="仿宋"/>
          <w:sz w:val="30"/>
          <w:szCs w:val="30"/>
        </w:rPr>
        <w:t>加大部分畅销图书、经典图书的采购副本量，以满足不同读者同时借阅的需求和对经典图书的需求</w:t>
      </w:r>
      <w:r>
        <w:rPr>
          <w:rFonts w:hint="eastAsia" w:ascii="仿宋" w:hAnsi="仿宋" w:eastAsia="仿宋"/>
          <w:sz w:val="30"/>
          <w:szCs w:val="30"/>
          <w:lang w:eastAsia="zh-CN"/>
        </w:rPr>
        <w:t>；</w:t>
      </w:r>
      <w:r>
        <w:rPr>
          <w:rFonts w:hint="eastAsia" w:ascii="仿宋" w:hAnsi="仿宋" w:eastAsia="仿宋"/>
          <w:sz w:val="30"/>
          <w:szCs w:val="30"/>
          <w:lang w:val="en-US" w:eastAsia="zh-CN"/>
        </w:rPr>
        <w:t>四是</w:t>
      </w:r>
      <w:r>
        <w:rPr>
          <w:rFonts w:hint="eastAsia" w:ascii="仿宋" w:hAnsi="仿宋" w:eastAsia="仿宋"/>
          <w:sz w:val="30"/>
          <w:szCs w:val="30"/>
        </w:rPr>
        <w:t>做好线上交流线下记录的准备。</w:t>
      </w:r>
    </w:p>
    <w:p>
      <w:pPr>
        <w:spacing w:line="240" w:lineRule="auto"/>
        <w:ind w:firstLine="600"/>
        <w:rPr>
          <w:rFonts w:hint="eastAsia" w:ascii="仿宋" w:hAnsi="仿宋" w:eastAsia="仿宋"/>
          <w:sz w:val="30"/>
          <w:szCs w:val="30"/>
          <w:lang w:val="en-US" w:eastAsia="zh-CN"/>
        </w:rPr>
      </w:pPr>
      <w:r>
        <w:rPr>
          <w:rFonts w:hint="eastAsia" w:ascii="仿宋" w:hAnsi="仿宋" w:eastAsia="仿宋"/>
          <w:sz w:val="30"/>
          <w:szCs w:val="30"/>
          <w:lang w:val="en-US" w:eastAsia="zh-CN"/>
        </w:rPr>
        <w:drawing>
          <wp:inline distT="0" distB="0" distL="114300" distR="114300">
            <wp:extent cx="5037455" cy="6717665"/>
            <wp:effectExtent l="0" t="0" r="10795" b="6985"/>
            <wp:docPr id="23" name="图片 23" descr="购书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购书费"/>
                    <pic:cNvPicPr>
                      <a:picLocks noChangeAspect="1"/>
                    </pic:cNvPicPr>
                  </pic:nvPicPr>
                  <pic:blipFill>
                    <a:blip r:embed="rId33"/>
                    <a:stretch>
                      <a:fillRect/>
                    </a:stretch>
                  </pic:blipFill>
                  <pic:spPr>
                    <a:xfrm>
                      <a:off x="0" y="0"/>
                      <a:ext cx="5037455" cy="6717665"/>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val="0"/>
        <w:snapToGrid w:val="0"/>
        <w:spacing w:line="580" w:lineRule="exact"/>
        <w:ind w:leftChars="200" w:right="0" w:rightChars="0" w:firstLine="320" w:firstLineChars="100"/>
        <w:jc w:val="both"/>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读书（读者）活动及文化活动年度经费项目绩效自评综述：根据年初设定的绩效目标，读书（读者）活动及文化活动年度经费项目绩效自评得分为100分（绩效自评表附后）。全年预算数为7.4万元，执行数为7.4万元，完成预算的100%。项目绩效目标完成情况：优秀。</w:t>
      </w:r>
      <w:r>
        <w:rPr>
          <w:rFonts w:hint="eastAsia" w:ascii="仿宋_GB2312" w:hAnsi="仿宋_GB2312" w:eastAsia="仿宋_GB2312" w:cs="仿宋_GB2312"/>
          <w:b w:val="0"/>
          <w:bCs w:val="0"/>
          <w:color w:val="auto"/>
          <w:kern w:val="2"/>
          <w:sz w:val="32"/>
          <w:szCs w:val="32"/>
          <w:lang w:val="en-US" w:eastAsia="zh-CN" w:bidi="ar-SA"/>
        </w:rPr>
        <w:t>发现的主要问题及原因：一是</w:t>
      </w:r>
      <w:r>
        <w:rPr>
          <w:rFonts w:hint="eastAsia" w:ascii="仿宋_GB2312" w:hAnsi="仿宋_GB2312" w:eastAsia="仿宋_GB2312" w:cs="仿宋_GB2312"/>
          <w:b w:val="0"/>
          <w:bCs w:val="0"/>
          <w:kern w:val="2"/>
          <w:sz w:val="32"/>
          <w:szCs w:val="32"/>
          <w:lang w:val="en-US" w:eastAsia="zh-CN" w:bidi="ar-SA"/>
        </w:rPr>
        <w:t>读者活动受众面需进一步加大；二是传统线下活动组织较多，创新拓展不够。</w:t>
      </w:r>
      <w:r>
        <w:rPr>
          <w:rFonts w:hint="eastAsia" w:ascii="仿宋_GB2312" w:hAnsi="仿宋_GB2312" w:eastAsia="仿宋_GB2312" w:cs="仿宋_GB2312"/>
          <w:b w:val="0"/>
          <w:bCs w:val="0"/>
          <w:color w:val="auto"/>
          <w:kern w:val="2"/>
          <w:sz w:val="32"/>
          <w:szCs w:val="32"/>
          <w:lang w:val="en-US" w:eastAsia="zh-CN" w:bidi="ar-SA"/>
        </w:rPr>
        <w:t>下一步改进措施：</w:t>
      </w:r>
      <w:r>
        <w:rPr>
          <w:rFonts w:hint="eastAsia" w:ascii="仿宋_GB2312" w:hAnsi="仿宋_GB2312" w:eastAsia="仿宋_GB2312" w:cs="仿宋_GB2312"/>
          <w:b w:val="0"/>
          <w:bCs w:val="0"/>
          <w:kern w:val="2"/>
          <w:sz w:val="32"/>
          <w:szCs w:val="32"/>
          <w:lang w:val="en-US" w:eastAsia="zh-CN" w:bidi="ar-SA"/>
        </w:rPr>
        <w:t>不断强化活动组织的创新思维，充分利用线上线下相结合的形式，扩大活动受众面，并将活动努力向基层推进。</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300" w:right="0" w:rightChars="0"/>
        <w:jc w:val="both"/>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drawing>
          <wp:inline distT="0" distB="0" distL="114300" distR="114300">
            <wp:extent cx="4991100" cy="4707890"/>
            <wp:effectExtent l="0" t="0" r="0" b="16510"/>
            <wp:docPr id="24" name="图片 24" descr="读者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读者活动"/>
                    <pic:cNvPicPr>
                      <a:picLocks noChangeAspect="1"/>
                    </pic:cNvPicPr>
                  </pic:nvPicPr>
                  <pic:blipFill>
                    <a:blip r:embed="rId34"/>
                    <a:stretch>
                      <a:fillRect/>
                    </a:stretch>
                  </pic:blipFill>
                  <pic:spPr>
                    <a:xfrm>
                      <a:off x="0" y="0"/>
                      <a:ext cx="4991100" cy="4707890"/>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val="0"/>
        <w:snapToGrid w:val="0"/>
        <w:spacing w:line="580" w:lineRule="exact"/>
        <w:ind w:left="420" w:leftChars="200" w:right="0" w:rightChars="0" w:firstLine="320" w:firstLineChars="100"/>
        <w:jc w:val="both"/>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丰南区公共图书馆服务体系建设费（劳务费）项目绩效自评综述：根据年初设定的绩效目标，丰南区公共图书馆服务体系建设费（劳务费）项目绩效自评得分为98分（绩效自评表附后）。全年预算数为114万元，执行数为110.23万元，完成预算的96.7%。项目绩效目标完成情况：优秀。</w:t>
      </w:r>
      <w:r>
        <w:rPr>
          <w:rFonts w:hint="eastAsia" w:ascii="仿宋_GB2312" w:hAnsi="仿宋_GB2312" w:eastAsia="仿宋_GB2312" w:cs="仿宋_GB2312"/>
          <w:b w:val="0"/>
          <w:bCs w:val="0"/>
          <w:color w:val="auto"/>
          <w:kern w:val="2"/>
          <w:sz w:val="32"/>
          <w:szCs w:val="32"/>
          <w:lang w:val="en-US" w:eastAsia="zh-CN" w:bidi="ar-SA"/>
        </w:rPr>
        <w:t>发现的主要问题及原因：</w:t>
      </w:r>
      <w:r>
        <w:rPr>
          <w:rFonts w:hint="eastAsia" w:ascii="仿宋_GB2312" w:hAnsi="仿宋_GB2312" w:eastAsia="仿宋_GB2312" w:cs="仿宋_GB2312"/>
          <w:b w:val="0"/>
          <w:bCs w:val="0"/>
          <w:kern w:val="2"/>
          <w:sz w:val="32"/>
          <w:szCs w:val="32"/>
          <w:lang w:val="en-US" w:eastAsia="zh-CN" w:bidi="ar-SA"/>
        </w:rPr>
        <w:t>劳务派遣人员与在编、人事代理人员同工不同酬，且本馆部分中层负责人也为劳务派遣人员担任，因此突显劳务派遣人员待遇太低，不够合理与公平，并影响其积极性的持续保持。</w:t>
      </w:r>
      <w:r>
        <w:rPr>
          <w:rFonts w:hint="eastAsia" w:ascii="仿宋_GB2312" w:hAnsi="仿宋_GB2312" w:eastAsia="仿宋_GB2312" w:cs="仿宋_GB2312"/>
          <w:b w:val="0"/>
          <w:bCs w:val="0"/>
          <w:color w:val="auto"/>
          <w:kern w:val="2"/>
          <w:sz w:val="32"/>
          <w:szCs w:val="32"/>
          <w:lang w:val="en-US" w:eastAsia="zh-CN" w:bidi="ar-SA"/>
        </w:rPr>
        <w:t>下一步改进措施：对区图书馆28名劳务派遣人员统一管理、考核，</w:t>
      </w:r>
      <w:r>
        <w:rPr>
          <w:rFonts w:hint="eastAsia" w:ascii="仿宋_GB2312" w:hAnsi="仿宋_GB2312" w:eastAsia="仿宋_GB2312" w:cs="仿宋_GB2312"/>
          <w:b w:val="0"/>
          <w:bCs w:val="0"/>
          <w:kern w:val="2"/>
          <w:sz w:val="32"/>
          <w:szCs w:val="32"/>
          <w:lang w:val="en-US" w:eastAsia="zh-CN" w:bidi="ar-SA"/>
        </w:rPr>
        <w:t>彰显公平与合理。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drawing>
          <wp:inline distT="0" distB="0" distL="114300" distR="114300">
            <wp:extent cx="5168265" cy="4298315"/>
            <wp:effectExtent l="0" t="0" r="13335" b="6985"/>
            <wp:docPr id="25" name="图片 25" descr="劳务派遣工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劳务派遣工资"/>
                    <pic:cNvPicPr>
                      <a:picLocks noChangeAspect="1"/>
                    </pic:cNvPicPr>
                  </pic:nvPicPr>
                  <pic:blipFill>
                    <a:blip r:embed="rId35"/>
                    <a:stretch>
                      <a:fillRect/>
                    </a:stretch>
                  </pic:blipFill>
                  <pic:spPr>
                    <a:xfrm>
                      <a:off x="0" y="0"/>
                      <a:ext cx="5168265" cy="4298315"/>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val="0"/>
        <w:snapToGrid w:val="0"/>
        <w:spacing w:line="580" w:lineRule="exact"/>
        <w:ind w:left="420" w:leftChars="200" w:right="0" w:rightChars="0" w:firstLine="320" w:firstLineChars="100"/>
        <w:jc w:val="both"/>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免费开放年度专项经费项目绩效自评综述：根据年初设定的绩效目标，免费开放年度专项经费项目绩效自评得分为100分（绩效自评表附后）。全年预算数为10万元，执行数为10万元，完成预算的100%。项目绩效目标完成情况：优秀。</w:t>
      </w:r>
      <w:r>
        <w:rPr>
          <w:rFonts w:hint="eastAsia" w:ascii="仿宋_GB2312" w:hAnsi="仿宋_GB2312" w:eastAsia="仿宋_GB2312" w:cs="仿宋_GB2312"/>
          <w:b w:val="0"/>
          <w:bCs w:val="0"/>
          <w:color w:val="auto"/>
          <w:kern w:val="2"/>
          <w:sz w:val="32"/>
          <w:szCs w:val="32"/>
          <w:lang w:val="en-US" w:eastAsia="zh-CN" w:bidi="ar-SA"/>
        </w:rPr>
        <w:t>发现的主要问题及原因：一是预算购买和维修设备太明确具体，导致不能根据情况变化而调整，不利于资金效能的充分发挥；二是上级要求预算购买和维修的科目过于具体细化。下一步改进措施：合理确定免费开放资金用途，补充业务经费不足。</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300" w:right="0" w:rightChars="0"/>
        <w:jc w:val="center"/>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drawing>
          <wp:inline distT="0" distB="0" distL="114300" distR="114300">
            <wp:extent cx="5606415" cy="4532630"/>
            <wp:effectExtent l="0" t="0" r="13335" b="1270"/>
            <wp:docPr id="26" name="图片 26" descr="免费开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免费开放"/>
                    <pic:cNvPicPr>
                      <a:picLocks noChangeAspect="1"/>
                    </pic:cNvPicPr>
                  </pic:nvPicPr>
                  <pic:blipFill>
                    <a:blip r:embed="rId36"/>
                    <a:stretch>
                      <a:fillRect/>
                    </a:stretch>
                  </pic:blipFill>
                  <pic:spPr>
                    <a:xfrm>
                      <a:off x="0" y="0"/>
                      <a:ext cx="5606415" cy="4532630"/>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val="0"/>
        <w:snapToGrid w:val="0"/>
        <w:spacing w:line="580" w:lineRule="exact"/>
        <w:ind w:left="420" w:leftChars="200" w:right="0" w:rightChars="0" w:firstLine="320" w:firstLineChars="100"/>
        <w:jc w:val="both"/>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培训会议费项目绩效自评综述：根据年初设定的绩效目标，培训会议费项目绩效自评得分为100分（绩效自评表附后）。全年预算数为2万元，执行数为1.98万元，完成预算的98.81%。项目绩效目标完成情况：优秀。</w:t>
      </w:r>
      <w:r>
        <w:rPr>
          <w:rFonts w:hint="eastAsia" w:ascii="仿宋_GB2312" w:hAnsi="仿宋_GB2312" w:eastAsia="仿宋_GB2312" w:cs="仿宋_GB2312"/>
          <w:b w:val="0"/>
          <w:bCs w:val="0"/>
          <w:color w:val="auto"/>
          <w:kern w:val="2"/>
          <w:sz w:val="32"/>
          <w:szCs w:val="32"/>
          <w:lang w:val="en-US" w:eastAsia="zh-CN" w:bidi="ar-SA"/>
        </w:rPr>
        <w:t>发现的主要问题及原因：一是预算实际执行金额与预算金额存在偏差；二是预算执行过程中不够精细、合理。下一步改进措施：加强预算制定与执行的有效衔接，努力提升预算执行力。</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default"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drawing>
          <wp:inline distT="0" distB="0" distL="114300" distR="114300">
            <wp:extent cx="5606415" cy="5389245"/>
            <wp:effectExtent l="0" t="0" r="13335" b="1905"/>
            <wp:docPr id="27" name="图片 27" descr="培训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培训费"/>
                    <pic:cNvPicPr>
                      <a:picLocks noChangeAspect="1"/>
                    </pic:cNvPicPr>
                  </pic:nvPicPr>
                  <pic:blipFill>
                    <a:blip r:embed="rId37"/>
                    <a:stretch>
                      <a:fillRect/>
                    </a:stretch>
                  </pic:blipFill>
                  <pic:spPr>
                    <a:xfrm>
                      <a:off x="0" y="0"/>
                      <a:ext cx="5606415" cy="5389245"/>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val="0"/>
        <w:snapToGrid w:val="0"/>
        <w:spacing w:line="580" w:lineRule="exact"/>
        <w:ind w:left="420" w:leftChars="200" w:right="0" w:rightChars="0" w:firstLine="320" w:firstLineChars="100"/>
        <w:jc w:val="both"/>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书香丰南动车组”流动车购置费项目绩效自评综述：根据年初设定的绩效目标，“书香丰南动车组”流动车购置费项目绩效自评得分为95分（绩效自评表附后）。全年预算数为24.5万元，执行数为21.78万元，完成预算的88.9%。项目绩效目标完成情况：优秀。</w:t>
      </w:r>
      <w:r>
        <w:rPr>
          <w:rFonts w:hint="eastAsia" w:ascii="仿宋_GB2312" w:hAnsi="仿宋_GB2312" w:eastAsia="仿宋_GB2312" w:cs="仿宋_GB2312"/>
          <w:b w:val="0"/>
          <w:bCs w:val="0"/>
          <w:color w:val="auto"/>
          <w:kern w:val="2"/>
          <w:sz w:val="32"/>
          <w:szCs w:val="32"/>
          <w:lang w:val="en-US" w:eastAsia="zh-CN" w:bidi="ar-SA"/>
        </w:rPr>
        <w:t>发现的主要问题及原因：一是预算实际执行金额与预算有较大差额，车辆交付使用期限滞后；二是预算制定、执行过程中不够精细、合理，受公车改革影响新车改造耽误较长时间。下一步改进措施：加强预算制定与执行的有效衔接，努力提升预算执行力。</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drawing>
          <wp:inline distT="0" distB="0" distL="114300" distR="114300">
            <wp:extent cx="5606415" cy="4551680"/>
            <wp:effectExtent l="0" t="0" r="13335" b="1270"/>
            <wp:docPr id="28" name="图片 28" descr="培训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培训费"/>
                    <pic:cNvPicPr>
                      <a:picLocks noChangeAspect="1"/>
                    </pic:cNvPicPr>
                  </pic:nvPicPr>
                  <pic:blipFill>
                    <a:blip r:embed="rId38"/>
                    <a:stretch>
                      <a:fillRect/>
                    </a:stretch>
                  </pic:blipFill>
                  <pic:spPr>
                    <a:xfrm>
                      <a:off x="0" y="0"/>
                      <a:ext cx="5606415" cy="4551680"/>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val="0"/>
        <w:snapToGrid w:val="0"/>
        <w:spacing w:line="580" w:lineRule="exact"/>
        <w:ind w:left="420" w:leftChars="200" w:right="0" w:rightChars="0" w:firstLine="320" w:firstLineChars="100"/>
        <w:jc w:val="both"/>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书香丰南动车组”流动车运行维护费项目绩效自评综述：根据年初设定的绩效目标，“书香丰南动车组”流动车运行维护费项目绩效自评得分为96分（绩效自评表附后）。全年预算数为5.5万元，执行数为3.74万元，完成预算的68.01%。项目绩效目标完成情况：优秀。</w:t>
      </w:r>
      <w:r>
        <w:rPr>
          <w:rFonts w:hint="eastAsia" w:ascii="仿宋_GB2312" w:hAnsi="仿宋_GB2312" w:eastAsia="仿宋_GB2312" w:cs="仿宋_GB2312"/>
          <w:b w:val="0"/>
          <w:bCs w:val="0"/>
          <w:color w:val="auto"/>
          <w:kern w:val="2"/>
          <w:sz w:val="32"/>
          <w:szCs w:val="32"/>
          <w:lang w:val="en-US" w:eastAsia="zh-CN" w:bidi="ar-SA"/>
        </w:rPr>
        <w:t>发现的主要问题及原因：一是预算实际执行金额与预算出现差额；二是预算制定、执行过程中不够精细、合理，新车改造后运维费用降低。下一步改进措施：加强预算制定与执行的有效衔接，努力提升预算执行力。</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drawing>
          <wp:inline distT="0" distB="0" distL="114300" distR="114300">
            <wp:extent cx="5611495" cy="4663440"/>
            <wp:effectExtent l="0" t="0" r="8255" b="3810"/>
            <wp:docPr id="29" name="图片 29" descr="流动车运行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流动车运行费"/>
                    <pic:cNvPicPr>
                      <a:picLocks noChangeAspect="1"/>
                    </pic:cNvPicPr>
                  </pic:nvPicPr>
                  <pic:blipFill>
                    <a:blip r:embed="rId39"/>
                    <a:stretch>
                      <a:fillRect/>
                    </a:stretch>
                  </pic:blipFill>
                  <pic:spPr>
                    <a:xfrm>
                      <a:off x="0" y="0"/>
                      <a:ext cx="5611495" cy="4663440"/>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val="0"/>
        <w:snapToGrid w:val="0"/>
        <w:spacing w:line="580" w:lineRule="exact"/>
        <w:ind w:left="420" w:leftChars="200" w:right="0" w:rightChars="0" w:firstLine="320" w:firstLineChars="100"/>
        <w:jc w:val="both"/>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提前下达2019年中央补助地方美术馆、公共图书馆、文化馆（站）免费开放专项资金项目绩效自评综述：根据年初设定的绩效目标，提前下达2019年中央补助地方美术馆、公共图书馆、文化馆（站）免费开放专项资金项目绩效自评得分为100分（绩效自评表附后）。全年预算数为10万元，执行数为10万元，完成预算的100%。项目绩效目标完成情况：优秀。</w:t>
      </w:r>
      <w:r>
        <w:rPr>
          <w:rFonts w:hint="eastAsia" w:ascii="仿宋_GB2312" w:hAnsi="仿宋_GB2312" w:eastAsia="仿宋_GB2312" w:cs="仿宋_GB2312"/>
          <w:b w:val="0"/>
          <w:bCs w:val="0"/>
          <w:color w:val="auto"/>
          <w:kern w:val="2"/>
          <w:sz w:val="32"/>
          <w:szCs w:val="32"/>
          <w:lang w:val="en-US" w:eastAsia="zh-CN" w:bidi="ar-SA"/>
        </w:rPr>
        <w:t>发现的主要问题及原因：一是免费开放经费使用范围较小；二是年度预算编制过程中未能将该部分资金用途与其他预算充分结合考虑。下一步改进措施：在今后预算编制过程中认真研究该项经费用途，与整体预算统筹考虑，扩大使用范围，充分发挥其作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drawing>
          <wp:inline distT="0" distB="0" distL="114300" distR="114300">
            <wp:extent cx="5222240" cy="4029075"/>
            <wp:effectExtent l="0" t="0" r="16510" b="9525"/>
            <wp:docPr id="31" name="图片 31" descr="提前下达免费开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提前下达免费开放"/>
                    <pic:cNvPicPr>
                      <a:picLocks noChangeAspect="1"/>
                    </pic:cNvPicPr>
                  </pic:nvPicPr>
                  <pic:blipFill>
                    <a:blip r:embed="rId40"/>
                    <a:stretch>
                      <a:fillRect/>
                    </a:stretch>
                  </pic:blipFill>
                  <pic:spPr>
                    <a:xfrm>
                      <a:off x="0" y="0"/>
                      <a:ext cx="5222240" cy="4029075"/>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val="0"/>
        <w:snapToGrid w:val="0"/>
        <w:spacing w:line="580" w:lineRule="exact"/>
        <w:ind w:left="420" w:leftChars="200" w:right="0" w:rightChars="0" w:firstLine="320" w:firstLineChars="100"/>
        <w:jc w:val="both"/>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图书馆专项业务费项目绩效自评综述：根据年初设定的绩效目标，图书馆专项业务费项目绩效自评得分为100分（绩效自评表附后）。全年预算数为3.4万元，执行数为3.4万元，完成预算的99.99%。项目绩效目标完成情况：优秀。</w:t>
      </w:r>
      <w:r>
        <w:rPr>
          <w:rFonts w:hint="eastAsia" w:ascii="仿宋_GB2312" w:hAnsi="仿宋_GB2312" w:eastAsia="仿宋_GB2312" w:cs="仿宋_GB2312"/>
          <w:b w:val="0"/>
          <w:bCs w:val="0"/>
          <w:color w:val="auto"/>
          <w:kern w:val="2"/>
          <w:sz w:val="32"/>
          <w:szCs w:val="32"/>
          <w:lang w:val="en-US" w:eastAsia="zh-CN" w:bidi="ar-SA"/>
        </w:rPr>
        <w:t>发现的主要问题及原因：一是预算项目内科目划分、资金分配不够合理，造成预算与实际需求衔接有瑕疵；二是预算编制过程中对年度需求调研不细致，科目制定与实际工作有一定程度脱节。下一步改进措施：今后预算制定过程中的整体需求调研保证精细、严密，不断细化、优化经费预算编制科目。</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drawing>
          <wp:inline distT="0" distB="0" distL="114300" distR="114300">
            <wp:extent cx="5608955" cy="4380230"/>
            <wp:effectExtent l="0" t="0" r="10795" b="1270"/>
            <wp:docPr id="33" name="图片 33" descr="专项业务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专项业务费"/>
                    <pic:cNvPicPr>
                      <a:picLocks noChangeAspect="1"/>
                    </pic:cNvPicPr>
                  </pic:nvPicPr>
                  <pic:blipFill>
                    <a:blip r:embed="rId41"/>
                    <a:stretch>
                      <a:fillRect/>
                    </a:stretch>
                  </pic:blipFill>
                  <pic:spPr>
                    <a:xfrm>
                      <a:off x="0" y="0"/>
                      <a:ext cx="5608955" cy="4380230"/>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val="0"/>
        <w:snapToGrid w:val="0"/>
        <w:spacing w:line="580" w:lineRule="exact"/>
        <w:ind w:left="420" w:leftChars="200" w:right="0" w:rightChars="0" w:firstLine="320" w:firstLineChars="100"/>
        <w:jc w:val="both"/>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网络系统及电子设备运行维护费项目绩效自评综述：根据年初设定的绩效目标，网络系统及电子设备运行维护费项目绩效自评得分为100分（绩效自评表附后）。全年预算数为15万元，执行数为14.84万元，完成预算的98.93%。项目绩效目标完成情况：优秀。</w:t>
      </w:r>
      <w:r>
        <w:rPr>
          <w:rFonts w:hint="eastAsia" w:ascii="仿宋_GB2312" w:hAnsi="仿宋_GB2312" w:eastAsia="仿宋_GB2312" w:cs="仿宋_GB2312"/>
          <w:b w:val="0"/>
          <w:bCs w:val="0"/>
          <w:color w:val="auto"/>
          <w:kern w:val="2"/>
          <w:sz w:val="32"/>
          <w:szCs w:val="32"/>
          <w:lang w:val="en-US" w:eastAsia="zh-CN" w:bidi="ar-SA"/>
        </w:rPr>
        <w:t>发现的主要问题及原因：一是预算实际执行金额与预算金额存在偏差；二是预算执行过程中不够精细、合理。下一步改进措施：加强预算制定与执行的有效衔接，努力提升预算执行力。</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300" w:right="0" w:rightChars="0"/>
        <w:jc w:val="both"/>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drawing>
          <wp:inline distT="0" distB="0" distL="114300" distR="114300">
            <wp:extent cx="5609590" cy="5121910"/>
            <wp:effectExtent l="0" t="0" r="10160" b="2540"/>
            <wp:docPr id="34" name="图片 34" descr="网络运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网络运维"/>
                    <pic:cNvPicPr>
                      <a:picLocks noChangeAspect="1"/>
                    </pic:cNvPicPr>
                  </pic:nvPicPr>
                  <pic:blipFill>
                    <a:blip r:embed="rId42"/>
                    <a:stretch>
                      <a:fillRect/>
                    </a:stretch>
                  </pic:blipFill>
                  <pic:spPr>
                    <a:xfrm>
                      <a:off x="0" y="0"/>
                      <a:ext cx="5609590" cy="51219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right="0" w:rightChars="0"/>
        <w:jc w:val="both"/>
        <w:textAlignment w:val="auto"/>
        <w:outlineLvl w:val="9"/>
        <w:rPr>
          <w:rFonts w:hint="eastAsia" w:ascii="仿宋_GB2312" w:hAnsi="仿宋_GB2312" w:eastAsia="仿宋_GB2312" w:cs="仿宋_GB2312"/>
          <w:b w:val="0"/>
          <w:bCs w:val="0"/>
          <w:kern w:val="2"/>
          <w:sz w:val="32"/>
          <w:szCs w:val="32"/>
          <w:lang w:val="en-US" w:eastAsia="zh-CN" w:bidi="ar-SA"/>
        </w:rPr>
      </w:pPr>
    </w:p>
    <w:p>
      <w:pPr>
        <w:keepNext/>
        <w:keepLines/>
        <w:pageBreakBefore w:val="0"/>
        <w:widowControl w:val="0"/>
        <w:kinsoku/>
        <w:wordWrap/>
        <w:overflowPunct/>
        <w:topLinePunct w:val="0"/>
        <w:autoSpaceDE/>
        <w:autoSpaceDN/>
        <w:bidi w:val="0"/>
        <w:snapToGrid w:val="0"/>
        <w:spacing w:line="580" w:lineRule="exact"/>
        <w:ind w:right="0" w:rightChars="0" w:firstLine="640" w:firstLineChars="200"/>
        <w:jc w:val="both"/>
        <w:textAlignment w:val="auto"/>
        <w:outlineLvl w:val="1"/>
        <w:rPr>
          <w:rFonts w:ascii="黑体" w:hAnsi="Calibri" w:eastAsia="黑体" w:cs="Times New Roman"/>
          <w:b w:val="0"/>
          <w:bCs w:val="0"/>
          <w:kern w:val="2"/>
          <w:sz w:val="32"/>
          <w:szCs w:val="32"/>
          <w:lang w:val="en-US" w:eastAsia="zh-CN" w:bidi="ar-SA"/>
        </w:rPr>
      </w:pPr>
      <w:r>
        <w:rPr>
          <w:rFonts w:hint="eastAsia" w:ascii="黑体" w:hAnsi="Calibri" w:eastAsia="黑体" w:cs="Times New Roman"/>
          <w:b w:val="0"/>
          <w:bCs w:val="0"/>
          <w:kern w:val="2"/>
          <w:sz w:val="32"/>
          <w:szCs w:val="32"/>
          <w:lang w:val="en-US" w:eastAsia="zh-CN" w:bidi="ar-SA"/>
        </w:rPr>
        <w:t>七、其他重要事项的说明</w:t>
      </w:r>
    </w:p>
    <w:p>
      <w:pPr>
        <w:keepNext/>
        <w:keepLines/>
        <w:pageBreakBefore w:val="0"/>
        <w:widowControl w:val="0"/>
        <w:kinsoku/>
        <w:wordWrap/>
        <w:overflowPunct/>
        <w:topLinePunct w:val="0"/>
        <w:autoSpaceDE/>
        <w:autoSpaceDN/>
        <w:bidi w:val="0"/>
        <w:snapToGrid w:val="0"/>
        <w:spacing w:line="580" w:lineRule="exact"/>
        <w:ind w:right="0" w:rightChars="0" w:firstLine="643" w:firstLineChars="200"/>
        <w:jc w:val="both"/>
        <w:textAlignment w:val="auto"/>
        <w:outlineLvl w:val="2"/>
        <w:rPr>
          <w:rFonts w:ascii="楷体_GB2312" w:hAnsi="Times New Roman" w:eastAsia="楷体_GB2312" w:cs="DengXian-Bold"/>
          <w:b/>
          <w:bCs/>
          <w:kern w:val="2"/>
          <w:sz w:val="32"/>
          <w:szCs w:val="32"/>
          <w:lang w:val="en-US" w:eastAsia="zh-CN" w:bidi="ar-SA"/>
        </w:rPr>
      </w:pPr>
      <w:r>
        <w:rPr>
          <w:rFonts w:hint="eastAsia" w:ascii="楷体_GB2312" w:hAnsi="Times New Roman" w:eastAsia="楷体_GB2312" w:cs="DengXian-Bold"/>
          <w:b/>
          <w:bCs/>
          <w:kern w:val="2"/>
          <w:sz w:val="32"/>
          <w:szCs w:val="32"/>
          <w:lang w:val="en-US" w:eastAsia="zh-CN" w:bidi="ar-SA"/>
        </w:rPr>
        <w:t>（一）机关运行经费情况</w:t>
      </w:r>
    </w:p>
    <w:p>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ascii="仿宋_GB2312" w:hAnsi="Times New Roman" w:eastAsia="仿宋_GB2312" w:cs="DengXian-Regular"/>
          <w:sz w:val="32"/>
          <w:szCs w:val="32"/>
        </w:rPr>
      </w:pPr>
      <w:r>
        <w:rPr>
          <w:rFonts w:hint="eastAsia" w:ascii="仿宋_GB2312" w:hAnsi="Times New Roman" w:eastAsia="仿宋_GB2312" w:cs="DengXian-Regular"/>
          <w:sz w:val="32"/>
          <w:szCs w:val="32"/>
          <w:lang w:val="en-US" w:eastAsia="zh-CN"/>
        </w:rPr>
        <w:t>我馆是事业单位，不存在机关运行经费支出</w:t>
      </w:r>
      <w:r>
        <w:rPr>
          <w:rFonts w:hint="eastAsia" w:ascii="仿宋_GB2312" w:hAnsi="Times New Roman" w:eastAsia="仿宋_GB2312" w:cs="DengXian-Regular"/>
          <w:sz w:val="32"/>
          <w:szCs w:val="32"/>
        </w:rPr>
        <w:t>。</w:t>
      </w:r>
    </w:p>
    <w:p>
      <w:pPr>
        <w:keepNext/>
        <w:keepLines/>
        <w:pageBreakBefore w:val="0"/>
        <w:widowControl w:val="0"/>
        <w:kinsoku/>
        <w:wordWrap/>
        <w:overflowPunct/>
        <w:topLinePunct w:val="0"/>
        <w:autoSpaceDE/>
        <w:autoSpaceDN/>
        <w:bidi w:val="0"/>
        <w:adjustRightInd/>
        <w:snapToGrid w:val="0"/>
        <w:spacing w:line="580" w:lineRule="exact"/>
        <w:ind w:left="0" w:leftChars="0" w:right="0" w:rightChars="0" w:firstLine="643" w:firstLineChars="200"/>
        <w:jc w:val="both"/>
        <w:textAlignment w:val="auto"/>
        <w:outlineLvl w:val="2"/>
        <w:rPr>
          <w:rFonts w:ascii="楷体_GB2312" w:hAnsi="Times New Roman" w:eastAsia="楷体_GB2312" w:cs="DengXian-Bold"/>
          <w:b/>
          <w:bCs/>
          <w:kern w:val="2"/>
          <w:sz w:val="32"/>
          <w:szCs w:val="32"/>
          <w:lang w:val="en-US" w:eastAsia="zh-CN" w:bidi="ar-SA"/>
        </w:rPr>
      </w:pPr>
      <w:r>
        <w:rPr>
          <w:rFonts w:hint="eastAsia" w:ascii="楷体_GB2312" w:hAnsi="Times New Roman" w:eastAsia="楷体_GB2312" w:cs="DengXian-Bold"/>
          <w:b/>
          <w:bCs/>
          <w:kern w:val="2"/>
          <w:sz w:val="32"/>
          <w:szCs w:val="32"/>
          <w:lang w:val="en-US" w:eastAsia="zh-CN" w:bidi="ar-SA"/>
        </w:rPr>
        <w:t>（二）政府采购情况</w:t>
      </w:r>
    </w:p>
    <w:p>
      <w:pPr>
        <w:keepNext w:val="0"/>
        <w:keepLines w:val="0"/>
        <w:pageBreakBefore w:val="0"/>
        <w:widowControl w:val="0"/>
        <w:suppressLineNumbers w:val="0"/>
        <w:kinsoku/>
        <w:wordWrap/>
        <w:overflowPunct/>
        <w:topLinePunct w:val="0"/>
        <w:autoSpaceDE/>
        <w:autoSpaceDN/>
        <w:bidi w:val="0"/>
        <w:adjustRightInd/>
        <w:snapToGrid w:val="0"/>
        <w:spacing w:line="580" w:lineRule="exact"/>
        <w:ind w:left="0" w:leftChars="0" w:right="0" w:rightChars="0" w:firstLine="640" w:firstLineChars="200"/>
        <w:jc w:val="left"/>
        <w:textAlignment w:val="auto"/>
        <w:rPr>
          <w:rFonts w:hint="eastAsia" w:ascii="仿宋_GB2312" w:hAnsi="Times New Roman" w:eastAsia="仿宋_GB2312" w:cs="DengXian-Regular"/>
          <w:sz w:val="32"/>
          <w:szCs w:val="32"/>
          <w:lang w:val="en-US" w:eastAsia="zh-CN"/>
        </w:rPr>
      </w:pP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eastAsia="zh-CN"/>
        </w:rPr>
        <w:t>2019年</w:t>
      </w:r>
      <w:r>
        <w:rPr>
          <w:rFonts w:hint="eastAsia" w:ascii="仿宋_GB2312" w:hAnsi="Times New Roman" w:eastAsia="仿宋_GB2312" w:cs="DengXian-Regular"/>
          <w:sz w:val="32"/>
          <w:szCs w:val="32"/>
        </w:rPr>
        <w:t>度政府采购支出总额</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w:t>
      </w:r>
    </w:p>
    <w:p>
      <w:pPr>
        <w:keepNext/>
        <w:keepLines/>
        <w:pageBreakBefore w:val="0"/>
        <w:widowControl w:val="0"/>
        <w:kinsoku/>
        <w:wordWrap/>
        <w:overflowPunct/>
        <w:topLinePunct w:val="0"/>
        <w:autoSpaceDE/>
        <w:autoSpaceDN/>
        <w:bidi w:val="0"/>
        <w:snapToGrid w:val="0"/>
        <w:spacing w:line="580" w:lineRule="exact"/>
        <w:ind w:right="0" w:rightChars="0" w:firstLine="643" w:firstLineChars="200"/>
        <w:jc w:val="both"/>
        <w:textAlignment w:val="auto"/>
        <w:outlineLvl w:val="2"/>
        <w:rPr>
          <w:rFonts w:ascii="楷体_GB2312" w:hAnsi="Times New Roman" w:eastAsia="楷体_GB2312" w:cs="DengXian-Bold"/>
          <w:b/>
          <w:bCs/>
          <w:kern w:val="2"/>
          <w:sz w:val="32"/>
          <w:szCs w:val="32"/>
          <w:lang w:val="en-US" w:eastAsia="zh-CN" w:bidi="ar-SA"/>
        </w:rPr>
      </w:pPr>
      <w:r>
        <w:rPr>
          <w:rFonts w:hint="eastAsia" w:ascii="楷体_GB2312" w:hAnsi="Times New Roman" w:eastAsia="楷体_GB2312" w:cs="DengXian-Bold"/>
          <w:b/>
          <w:bCs/>
          <w:kern w:val="2"/>
          <w:sz w:val="32"/>
          <w:szCs w:val="32"/>
          <w:lang w:val="en-US" w:eastAsia="zh-CN" w:bidi="ar-SA"/>
        </w:rPr>
        <w:t>（三）国有资产占用情况</w:t>
      </w:r>
    </w:p>
    <w:p>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截至</w:t>
      </w:r>
      <w:r>
        <w:rPr>
          <w:rFonts w:hint="eastAsia" w:ascii="仿宋_GB2312" w:hAnsi="Times New Roman" w:eastAsia="仿宋_GB2312" w:cs="DengXian-Regular"/>
          <w:sz w:val="32"/>
          <w:szCs w:val="32"/>
          <w:lang w:eastAsia="zh-CN"/>
        </w:rPr>
        <w:t>2019年</w:t>
      </w:r>
      <w:r>
        <w:rPr>
          <w:rFonts w:hint="eastAsia" w:ascii="仿宋_GB2312" w:hAnsi="Times New Roman" w:eastAsia="仿宋_GB2312" w:cs="DengXian-Regular"/>
          <w:sz w:val="32"/>
          <w:szCs w:val="32"/>
        </w:rPr>
        <w:t>12月31日，本部门共有车辆</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辆，</w:t>
      </w:r>
      <w:r>
        <w:rPr>
          <w:rFonts w:hint="eastAsia" w:ascii="仿宋_GB2312" w:hAnsi="Times New Roman" w:eastAsia="仿宋_GB2312" w:cs="DengXian-Regular"/>
          <w:sz w:val="32"/>
          <w:szCs w:val="32"/>
          <w:lang w:val="en-US" w:eastAsia="zh-CN"/>
        </w:rPr>
        <w:t>比上年增加1辆，主要是购入的车辆为流动服务车，按“书香丰南动车组”车辆改造方案要求进行改装的专项作业车。</w:t>
      </w:r>
      <w:r>
        <w:rPr>
          <w:rFonts w:hint="eastAsia" w:ascii="仿宋_GB2312" w:hAnsi="Times New Roman" w:eastAsia="仿宋_GB2312" w:cs="DengXian-Regular"/>
          <w:sz w:val="32"/>
          <w:szCs w:val="32"/>
        </w:rPr>
        <w:t>其中，副部（省）级及以上领导用车</w:t>
      </w:r>
      <w:r>
        <w:rPr>
          <w:rFonts w:hint="eastAsia" w:ascii="仿宋_GB2312" w:hAnsi="Times New Roman" w:eastAsia="仿宋_GB2312" w:cs="DengXian-Regular"/>
          <w:sz w:val="32"/>
          <w:szCs w:val="32"/>
          <w:lang w:val="en-US" w:eastAsia="zh-CN"/>
        </w:rPr>
        <w:t>0辆，</w:t>
      </w:r>
      <w:r>
        <w:rPr>
          <w:rFonts w:hint="eastAsia" w:ascii="仿宋_GB2312" w:hAnsi="Times New Roman" w:eastAsia="仿宋_GB2312" w:cs="DengXian-Regular"/>
          <w:sz w:val="32"/>
          <w:szCs w:val="32"/>
        </w:rPr>
        <w:t>主要领导干部用车</w:t>
      </w:r>
      <w:r>
        <w:rPr>
          <w:rFonts w:hint="eastAsia" w:ascii="仿宋_GB2312" w:hAnsi="Times New Roman" w:eastAsia="仿宋_GB2312" w:cs="DengXian-Regular"/>
          <w:sz w:val="32"/>
          <w:szCs w:val="32"/>
          <w:lang w:val="en-US" w:eastAsia="zh-CN"/>
        </w:rPr>
        <w:t>0辆，</w:t>
      </w:r>
      <w:r>
        <w:rPr>
          <w:rFonts w:hint="eastAsia" w:ascii="仿宋_GB2312" w:hAnsi="Times New Roman" w:eastAsia="仿宋_GB2312" w:cs="DengXian-Regular"/>
          <w:sz w:val="32"/>
          <w:szCs w:val="32"/>
        </w:rPr>
        <w:t>机要通信用车</w:t>
      </w:r>
      <w:r>
        <w:rPr>
          <w:rFonts w:hint="eastAsia" w:ascii="仿宋_GB2312" w:hAnsi="Times New Roman" w:eastAsia="仿宋_GB2312" w:cs="DengXian-Regular"/>
          <w:sz w:val="32"/>
          <w:szCs w:val="32"/>
          <w:lang w:val="en-US" w:eastAsia="zh-CN"/>
        </w:rPr>
        <w:t>0辆，</w:t>
      </w:r>
      <w:r>
        <w:rPr>
          <w:rFonts w:hint="eastAsia" w:ascii="仿宋_GB2312" w:hAnsi="Times New Roman" w:eastAsia="仿宋_GB2312" w:cs="DengXian-Regular"/>
          <w:sz w:val="32"/>
          <w:szCs w:val="32"/>
        </w:rPr>
        <w:t>应急保障用车</w:t>
      </w:r>
      <w:r>
        <w:rPr>
          <w:rFonts w:hint="eastAsia" w:ascii="仿宋_GB2312" w:hAnsi="Times New Roman" w:eastAsia="仿宋_GB2312" w:cs="DengXian-Regular"/>
          <w:sz w:val="32"/>
          <w:szCs w:val="32"/>
          <w:lang w:val="en-US" w:eastAsia="zh-CN"/>
        </w:rPr>
        <w:t>0辆，</w:t>
      </w:r>
      <w:r>
        <w:rPr>
          <w:rFonts w:hint="eastAsia" w:ascii="仿宋_GB2312" w:hAnsi="Times New Roman" w:eastAsia="仿宋_GB2312" w:cs="DengXian-Regular"/>
          <w:sz w:val="32"/>
          <w:szCs w:val="32"/>
        </w:rPr>
        <w:t>执法执勤用车</w:t>
      </w:r>
      <w:r>
        <w:rPr>
          <w:rFonts w:hint="eastAsia" w:ascii="仿宋_GB2312" w:hAnsi="Times New Roman" w:eastAsia="仿宋_GB2312" w:cs="DengXian-Regular"/>
          <w:sz w:val="32"/>
          <w:szCs w:val="32"/>
          <w:lang w:val="en-US" w:eastAsia="zh-CN"/>
        </w:rPr>
        <w:t>0辆，</w:t>
      </w:r>
      <w:r>
        <w:rPr>
          <w:rFonts w:hint="eastAsia" w:ascii="仿宋_GB2312" w:hAnsi="Times New Roman" w:eastAsia="仿宋_GB2312" w:cs="DengXian-Regular"/>
          <w:sz w:val="32"/>
          <w:szCs w:val="32"/>
        </w:rPr>
        <w:t>特种专业技术用车</w:t>
      </w:r>
      <w:r>
        <w:rPr>
          <w:rFonts w:hint="eastAsia" w:ascii="仿宋_GB2312" w:hAnsi="Times New Roman" w:eastAsia="仿宋_GB2312" w:cs="DengXian-Regular"/>
          <w:sz w:val="32"/>
          <w:szCs w:val="32"/>
          <w:lang w:val="en-US" w:eastAsia="zh-CN"/>
        </w:rPr>
        <w:t>3辆，</w:t>
      </w:r>
      <w:r>
        <w:rPr>
          <w:rFonts w:hint="eastAsia" w:ascii="仿宋_GB2312" w:hAnsi="Times New Roman" w:eastAsia="仿宋_GB2312" w:cs="DengXian-Regular"/>
          <w:sz w:val="32"/>
          <w:szCs w:val="32"/>
        </w:rPr>
        <w:t>离退休干部用车</w:t>
      </w:r>
      <w:r>
        <w:rPr>
          <w:rFonts w:hint="eastAsia" w:ascii="仿宋_GB2312" w:hAnsi="Times New Roman" w:eastAsia="仿宋_GB2312" w:cs="DengXian-Regular"/>
          <w:sz w:val="32"/>
          <w:szCs w:val="32"/>
          <w:lang w:val="en-US" w:eastAsia="zh-CN"/>
        </w:rPr>
        <w:t>0辆，</w:t>
      </w:r>
      <w:r>
        <w:rPr>
          <w:rFonts w:hint="eastAsia" w:ascii="仿宋_GB2312" w:hAnsi="Times New Roman" w:eastAsia="仿宋_GB2312" w:cs="DengXian-Regular"/>
          <w:sz w:val="32"/>
          <w:szCs w:val="32"/>
        </w:rPr>
        <w:t>其他用车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w:t>
      </w:r>
    </w:p>
    <w:p>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hint="eastAsia" w:ascii="楷体_GB2312" w:hAnsi="Times New Roman" w:eastAsia="楷体_GB2312" w:cs="DengXian-Bold"/>
          <w:b/>
          <w:bCs/>
          <w:kern w:val="2"/>
          <w:sz w:val="32"/>
          <w:szCs w:val="32"/>
          <w:lang w:val="en-US" w:eastAsia="zh-CN" w:bidi="ar-SA"/>
        </w:rPr>
      </w:pPr>
      <w:r>
        <w:rPr>
          <w:rFonts w:hint="eastAsia" w:ascii="仿宋_GB2312" w:hAnsi="Times New Roman"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hAnsi="Times New Roman" w:eastAsia="仿宋_GB2312" w:cs="DengXian-Regular"/>
          <w:sz w:val="32"/>
          <w:szCs w:val="32"/>
        </w:rPr>
        <w:t>万元以上</w:t>
      </w:r>
      <w:r>
        <w:rPr>
          <w:rFonts w:hint="eastAsia" w:ascii="仿宋_GB2312" w:hAnsi="Times New Roman" w:eastAsia="仿宋_GB2312" w:cs="DengXian-Regular"/>
          <w:sz w:val="32"/>
          <w:szCs w:val="32"/>
          <w:lang w:val="en-US" w:eastAsia="zh-CN"/>
        </w:rPr>
        <w:t>通用</w:t>
      </w:r>
      <w:r>
        <w:rPr>
          <w:rFonts w:hint="eastAsia" w:ascii="仿宋_GB2312" w:hAnsi="Times New Roman" w:eastAsia="仿宋_GB2312" w:cs="DengXian-Regular"/>
          <w:sz w:val="32"/>
          <w:szCs w:val="32"/>
        </w:rPr>
        <w:t>设备</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台（套），</w:t>
      </w:r>
      <w:r>
        <w:rPr>
          <w:rFonts w:hint="eastAsia" w:ascii="仿宋_GB2312" w:hAnsi="Times New Roman" w:eastAsia="仿宋_GB2312" w:cs="DengXian-Regular"/>
          <w:sz w:val="32"/>
          <w:szCs w:val="32"/>
          <w:lang w:val="en-US" w:eastAsia="zh-CN"/>
        </w:rPr>
        <w:t>较上年无增减变化，</w:t>
      </w:r>
      <w:r>
        <w:rPr>
          <w:rFonts w:hint="eastAsia" w:ascii="仿宋_GB2312" w:hAnsi="Times New Roman" w:eastAsia="仿宋_GB2312" w:cs="DengXian-Regular"/>
          <w:sz w:val="32"/>
          <w:szCs w:val="32"/>
        </w:rPr>
        <w:t>单位价值</w:t>
      </w:r>
      <w:r>
        <w:rPr>
          <w:rFonts w:hint="eastAsia"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w:t>
      </w:r>
      <w:r>
        <w:rPr>
          <w:rFonts w:hint="eastAsia" w:ascii="仿宋_GB2312" w:hAnsi="Times New Roman" w:eastAsia="仿宋_GB2312" w:cs="DengXian-Regular"/>
          <w:sz w:val="32"/>
          <w:szCs w:val="32"/>
          <w:lang w:val="en-US" w:eastAsia="zh-CN"/>
        </w:rPr>
        <w:t>专用</w:t>
      </w:r>
      <w:r>
        <w:rPr>
          <w:rFonts w:hint="eastAsia" w:ascii="仿宋_GB2312" w:hAnsi="Times New Roman" w:eastAsia="仿宋_GB2312" w:cs="DengXian-Regular"/>
          <w:sz w:val="32"/>
          <w:szCs w:val="32"/>
        </w:rPr>
        <w:t>设备</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台（套）</w:t>
      </w:r>
      <w:r>
        <w:rPr>
          <w:rFonts w:hint="eastAsia" w:ascii="仿宋_GB2312" w:hAnsi="Times New Roman" w:eastAsia="仿宋_GB2312" w:cs="DengXian-Regular"/>
          <w:sz w:val="32"/>
          <w:szCs w:val="32"/>
          <w:lang w:val="en-US" w:eastAsia="zh-CN"/>
        </w:rPr>
        <w:t>，较上年无增减变化。</w:t>
      </w:r>
    </w:p>
    <w:p>
      <w:pPr>
        <w:keepNext/>
        <w:keepLines/>
        <w:pageBreakBefore w:val="0"/>
        <w:widowControl w:val="0"/>
        <w:kinsoku/>
        <w:wordWrap/>
        <w:overflowPunct/>
        <w:topLinePunct w:val="0"/>
        <w:autoSpaceDE/>
        <w:autoSpaceDN/>
        <w:bidi w:val="0"/>
        <w:snapToGrid w:val="0"/>
        <w:spacing w:line="580" w:lineRule="exact"/>
        <w:ind w:right="0" w:rightChars="0" w:firstLine="643" w:firstLineChars="200"/>
        <w:jc w:val="both"/>
        <w:textAlignment w:val="auto"/>
        <w:outlineLvl w:val="2"/>
        <w:rPr>
          <w:rFonts w:ascii="楷体_GB2312" w:hAnsi="Times New Roman" w:eastAsia="楷体_GB2312" w:cs="DengXian-Bold"/>
          <w:b/>
          <w:bCs/>
          <w:kern w:val="2"/>
          <w:sz w:val="32"/>
          <w:szCs w:val="32"/>
          <w:lang w:val="en-US" w:eastAsia="zh-CN" w:bidi="ar-SA"/>
        </w:rPr>
      </w:pPr>
      <w:r>
        <w:rPr>
          <w:rFonts w:hint="eastAsia" w:ascii="楷体_GB2312" w:hAnsi="Times New Roman" w:eastAsia="楷体_GB2312" w:cs="DengXian-Bold"/>
          <w:b/>
          <w:bCs/>
          <w:kern w:val="2"/>
          <w:sz w:val="32"/>
          <w:szCs w:val="32"/>
          <w:lang w:val="en-US" w:eastAsia="zh-CN" w:bidi="ar-SA"/>
        </w:rPr>
        <w:t>（四）其他需要说明的情况</w:t>
      </w:r>
    </w:p>
    <w:p>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ascii="仿宋_GB2312" w:hAnsi="Times New Roman" w:eastAsia="仿宋_GB2312" w:cs="DengXian-Regular"/>
          <w:sz w:val="32"/>
          <w:szCs w:val="32"/>
        </w:rPr>
      </w:pPr>
      <w:r>
        <w:rPr>
          <w:rFonts w:hint="eastAsia" w:ascii="仿宋_GB2312" w:hAnsi="Times New Roman" w:eastAsia="仿宋_GB2312" w:cs="DengXian-Regular"/>
          <w:sz w:val="32"/>
          <w:szCs w:val="32"/>
        </w:rPr>
        <w:t>1</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lang w:val="en-US" w:eastAsia="zh-CN"/>
        </w:rPr>
        <w:t xml:space="preserve"> </w:t>
      </w: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eastAsia="zh-CN"/>
        </w:rPr>
        <w:t>2019年</w:t>
      </w:r>
      <w:r>
        <w:rPr>
          <w:rFonts w:hint="eastAsia" w:ascii="仿宋_GB2312" w:hAnsi="Times New Roman" w:eastAsia="仿宋_GB2312" w:cs="DengXian-Regular"/>
          <w:sz w:val="32"/>
          <w:szCs w:val="32"/>
        </w:rPr>
        <w:t>度政府性基金预算财政拨款收入支出决算表和国有资本经营预算财政拨款支出决算表无收支及结转结余情况，故政府性基金预算财政拨款收入支出决算表和国有资本经营预算财政拨款支出决算表以空表列示。</w:t>
      </w:r>
    </w:p>
    <w:p>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ascii="仿宋_GB2312" w:hAnsi="Times New Roman" w:eastAsia="仿宋_GB2312" w:cs="DengXian-Regular"/>
          <w:sz w:val="32"/>
          <w:szCs w:val="32"/>
        </w:rPr>
      </w:pPr>
      <w:r>
        <w:rPr>
          <w:rFonts w:hint="eastAsia" w:ascii="仿宋_GB2312" w:hAnsi="Times New Roman" w:eastAsia="仿宋_GB2312" w:cs="DengXian-Regular"/>
          <w:sz w:val="32"/>
          <w:szCs w:val="32"/>
        </w:rPr>
        <w:t>2</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lang w:val="en-US" w:eastAsia="zh-CN"/>
        </w:rPr>
        <w:t xml:space="preserve"> </w:t>
      </w:r>
      <w:r>
        <w:rPr>
          <w:rFonts w:hint="eastAsia" w:ascii="仿宋_GB2312" w:hAnsi="Times New Roman" w:eastAsia="仿宋_GB2312" w:cs="DengXian-Regular"/>
          <w:sz w:val="32"/>
          <w:szCs w:val="32"/>
        </w:rPr>
        <w:t>由于决算公开表格中金额数值应当保留两位小数，公开数据为四舍五入计算结果，个别数据合计项与分项之和存在小数点后差额，特此说明。</w:t>
      </w:r>
    </w:p>
    <w:p>
      <w:pPr>
        <w:pageBreakBefore w:val="0"/>
        <w:widowControl/>
        <w:kinsoku/>
        <w:wordWrap/>
        <w:overflowPunct/>
        <w:topLinePunct w:val="0"/>
        <w:autoSpaceDE/>
        <w:autoSpaceDN/>
        <w:bidi w:val="0"/>
        <w:spacing w:after="0" w:line="580" w:lineRule="exact"/>
        <w:ind w:firstLine="883" w:firstLineChars="200"/>
        <w:jc w:val="left"/>
        <w:textAlignment w:val="auto"/>
        <w:rPr>
          <w:rFonts w:ascii="宋体" w:hAnsi="宋体" w:eastAsia="宋体" w:cs="MS-UIGothic,Bold"/>
          <w:b/>
          <w:bCs/>
          <w:kern w:val="0"/>
          <w:sz w:val="44"/>
          <w:szCs w:val="44"/>
        </w:rPr>
        <w:sectPr>
          <w:type w:val="continuous"/>
          <w:pgSz w:w="11906" w:h="16838"/>
          <w:pgMar w:top="2098" w:right="1474" w:bottom="1984" w:left="1588" w:header="851" w:footer="992" w:gutter="0"/>
          <w:pgNumType w:fmt="numberInDash"/>
          <w:cols w:space="0" w:num="1"/>
          <w:rtlGutter w:val="0"/>
          <w:docGrid w:type="lines" w:linePitch="312" w:charSpace="0"/>
        </w:sectPr>
      </w:pPr>
    </w:p>
    <w:p>
      <w:pPr>
        <w:jc w:val="center"/>
        <w:rPr>
          <w:rFonts w:hint="default" w:ascii="黑体" w:hAnsi="黑体" w:eastAsia="黑体" w:cs="黑体"/>
          <w:sz w:val="56"/>
          <w:szCs w:val="72"/>
          <w:lang w:val="en-US" w:eastAsia="zh-CN"/>
        </w:rPr>
      </w:pPr>
    </w:p>
    <w:p>
      <w:pPr>
        <w:jc w:val="center"/>
        <w:rPr>
          <w:rFonts w:hint="default" w:ascii="黑体" w:hAnsi="黑体" w:eastAsia="黑体" w:cs="黑体"/>
          <w:sz w:val="56"/>
          <w:szCs w:val="72"/>
          <w:lang w:val="en-US" w:eastAsia="zh-CN"/>
        </w:rPr>
        <w:sectPr>
          <w:type w:val="continuous"/>
          <w:pgSz w:w="11906" w:h="16838"/>
          <w:pgMar w:top="2041" w:right="1531" w:bottom="2041" w:left="1531" w:header="851" w:footer="992" w:gutter="0"/>
          <w:pgNumType w:fmt="numberInDash"/>
          <w:cols w:space="0" w:num="1"/>
          <w:titlePg/>
          <w:rtlGutter w:val="0"/>
          <w:docGrid w:type="lines" w:linePitch="312" w:charSpace="0"/>
        </w:sectPr>
      </w:pPr>
    </w:p>
    <w:p>
      <w:pPr>
        <w:rPr>
          <w:rFonts w:hint="default" w:ascii="黑体" w:hAnsi="黑体" w:eastAsia="黑体" w:cs="黑体"/>
          <w:sz w:val="56"/>
          <w:szCs w:val="72"/>
          <w:lang w:val="en-US" w:eastAsia="zh-CN"/>
        </w:rPr>
        <w:sectPr>
          <w:headerReference r:id="rId13" w:type="first"/>
          <w:footerReference r:id="rId15" w:type="first"/>
          <w:headerReference r:id="rId12" w:type="default"/>
          <w:footerReference r:id="rId14" w:type="default"/>
          <w:type w:val="continuous"/>
          <w:pgSz w:w="11906" w:h="16838"/>
          <w:pgMar w:top="2041" w:right="1531" w:bottom="2041" w:left="1531" w:header="851" w:footer="992" w:gutter="0"/>
          <w:pgNumType w:fmt="numberInDash"/>
          <w:cols w:space="0" w:num="1"/>
          <w:titlePg/>
          <w:rtlGutter w:val="0"/>
          <w:docGrid w:type="lines" w:linePitch="312" w:charSpace="0"/>
        </w:sectPr>
      </w:pPr>
      <w:r>
        <w:rPr>
          <w:rFonts w:hint="default" w:ascii="黑体" w:hAnsi="黑体" w:eastAsia="黑体" w:cs="黑体"/>
          <w:sz w:val="56"/>
          <w:szCs w:val="72"/>
          <w:lang w:val="en-US" w:eastAsia="zh-CN"/>
        </w:rPr>
        <w:br w:type="page"/>
      </w:r>
    </w:p>
    <w:p>
      <w:pPr>
        <w:rPr>
          <w:rFonts w:hint="default" w:ascii="黑体" w:hAnsi="黑体" w:eastAsia="黑体" w:cs="黑体"/>
          <w:sz w:val="56"/>
          <w:szCs w:val="72"/>
          <w:lang w:val="en-US" w:eastAsia="zh-CN"/>
        </w:rPr>
      </w:pPr>
    </w:p>
    <w:p>
      <w:pPr>
        <w:jc w:val="center"/>
        <w:rPr>
          <w:rFonts w:hint="default" w:ascii="黑体" w:hAnsi="黑体" w:eastAsia="黑体" w:cs="黑体"/>
          <w:sz w:val="56"/>
          <w:szCs w:val="72"/>
          <w:lang w:val="en-US" w:eastAsia="zh-CN"/>
        </w:rPr>
      </w:pPr>
    </w:p>
    <w:p>
      <w:pPr>
        <w:jc w:val="center"/>
        <w:rPr>
          <w:rFonts w:hint="default" w:ascii="黑体" w:hAnsi="黑体" w:eastAsia="黑体" w:cs="黑体"/>
          <w:sz w:val="56"/>
          <w:szCs w:val="72"/>
          <w:lang w:val="en-US" w:eastAsia="zh-CN"/>
        </w:rPr>
      </w:pPr>
    </w:p>
    <w:p>
      <w:pPr>
        <w:jc w:val="center"/>
        <w:rPr>
          <w:sz w:val="72"/>
        </w:rPr>
      </w:pPr>
      <w:r>
        <w:rPr>
          <w:sz w:val="72"/>
        </w:rPr>
        <mc:AlternateContent>
          <mc:Choice Requires="wps">
            <w:drawing>
              <wp:anchor distT="0" distB="0" distL="114300" distR="114300" simplePos="0" relativeHeight="251671552" behindDoc="0" locked="0" layoutInCell="1" allowOverlap="1">
                <wp:simplePos x="0" y="0"/>
                <wp:positionH relativeFrom="column">
                  <wp:posOffset>-1021715</wp:posOffset>
                </wp:positionH>
                <wp:positionV relativeFrom="paragraph">
                  <wp:posOffset>441960</wp:posOffset>
                </wp:positionV>
                <wp:extent cx="7793355" cy="3341370"/>
                <wp:effectExtent l="4445" t="4445" r="1270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chemeClr val="bg1"/>
                          </a:bgClr>
                        </a:pattFill>
                        <a:ln w="6350">
                          <a:solidFill>
                            <a:srgbClr val="FFD966"/>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hint="default"/>
                                <w:lang w:val="en-US"/>
                                <w14:textOutline w14:w="9525">
                                  <w14:solidFill>
                                    <w14:schemeClr w14:val="tx1">
                                      <w14:lumMod w14:val="50000"/>
                                      <w14:lumOff w14:val="50000"/>
                                    </w14:schemeClr>
                                  </w14:solidFill>
                                  <w14:round/>
                                </w14:textOutline>
                              </w:rPr>
                            </w:pPr>
                            <w:r>
                              <w:rPr>
                                <w:rFonts w:hint="eastAsia"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45pt;margin-top:34.8pt;height:263.1pt;width:613.65pt;z-index:251671552;v-text-anchor:middle;mso-width-relative:page;mso-height-relative:page;" fillcolor="#FFD966" filled="t" stroked="t" coordsize="21600,21600" o:gfxdata="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G5vsn2wAAAAwBAAAPAAAAAAAAAAEAIAAAACIA&#10;AABkcnMvZG93bnJldi54bWxQSwECFAAUAAAACACHTuJA1sRlnngCAAAIBQAADgAAAAAAAAABACAA&#10;AAAqAQAAZHJzL2Uyb0RvYy54bWxQSwUGAAAAAAYABgBZAQAAFAYAAAAA&#10;">
                <v:fill type="pattern" on="t" color2="#FFFFFF [3212]" o:title="5%" focussize="0,0" r:id="rId22"/>
                <v:stroke weight="0.5pt" color="#FFD966 [3204]" joinstyle="round"/>
                <v:imagedata o:title=""/>
                <o:lock v:ext="edit" aspectratio="f"/>
                <v:textbox>
                  <w:txbxContent>
                    <w:p>
                      <w:pPr>
                        <w:widowControl/>
                        <w:jc w:val="center"/>
                        <w:rPr>
                          <w:rFonts w:hint="default"/>
                          <w:lang w:val="en-US"/>
                          <w14:textOutline w14:w="9525">
                            <w14:solidFill>
                              <w14:schemeClr w14:val="tx1">
                                <w14:lumMod w14:val="50000"/>
                                <w14:lumOff w14:val="50000"/>
                              </w14:schemeClr>
                            </w14:solidFill>
                            <w14:round/>
                          </w14:textOutline>
                        </w:rPr>
                      </w:pPr>
                      <w:r>
                        <w:rPr>
                          <w:rFonts w:hint="eastAsia"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第三部分 相关名词解释</w:t>
                      </w:r>
                    </w:p>
                  </w:txbxContent>
                </v:textbox>
              </v:shape>
            </w:pict>
          </mc:Fallback>
        </mc:AlternateContent>
      </w:r>
    </w:p>
    <w:p>
      <w:pPr>
        <w:bidi w:val="0"/>
        <w:rPr>
          <w:rFonts w:hint="default" w:asciiTheme="minorHAnsi" w:hAnsiTheme="minorHAnsi" w:eastAsiaTheme="minorEastAsia" w:cstheme="minorBidi"/>
          <w:kern w:val="2"/>
          <w:sz w:val="21"/>
          <w:szCs w:val="22"/>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886"/>
        </w:tabs>
        <w:bidi w:val="0"/>
        <w:jc w:val="left"/>
        <w:rPr>
          <w:rFonts w:hint="eastAsia"/>
          <w:lang w:val="en-US" w:eastAsia="zh-CN"/>
        </w:rPr>
        <w:sectPr>
          <w:headerReference r:id="rId16" w:type="first"/>
          <w:pgSz w:w="11906" w:h="16838"/>
          <w:pgMar w:top="2041" w:right="1531" w:bottom="2041" w:left="1531" w:header="851" w:footer="992" w:gutter="0"/>
          <w:pgNumType w:fmt="numberInDash"/>
          <w:cols w:space="0" w:num="1"/>
          <w:titlePg/>
          <w:rtlGutter w:val="0"/>
          <w:docGrid w:type="lines" w:linePitch="312" w:charSpace="0"/>
        </w:sectPr>
      </w:pPr>
    </w:p>
    <w:p>
      <w:pPr>
        <w:rPr>
          <w:rFonts w:hint="eastAsia" w:ascii="仿宋_GB2312" w:hAnsi="宋体" w:eastAsia="仿宋_GB2312" w:cs="ArialUnicodeMS"/>
          <w:sz w:val="32"/>
          <w:szCs w:val="32"/>
          <w:highlight w:val="yellow"/>
        </w:rPr>
      </w:pPr>
      <w:r>
        <w:rPr>
          <w:rFonts w:hint="eastAsia" w:ascii="仿宋_GB2312" w:hAnsi="宋体" w:eastAsia="仿宋_GB2312" w:cs="ArialUnicodeMS"/>
          <w:sz w:val="32"/>
          <w:szCs w:val="32"/>
          <w:highlight w:val="yellow"/>
        </w:rPr>
        <w:br w:type="page"/>
      </w:r>
    </w:p>
    <w:p>
      <w:pPr>
        <w:widowControl/>
        <w:spacing w:after="0"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（四）用事业基金弥补收支差额：</w:t>
      </w:r>
      <w:r>
        <w:rPr>
          <w:rFonts w:hint="eastAsia" w:ascii="仿宋_GB2312" w:hAnsi="宋体" w:eastAsia="仿宋_GB2312" w:cs="Times New Roman"/>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after="0"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643" w:firstLineChars="200"/>
        <w:jc w:val="both"/>
        <w:textAlignment w:val="auto"/>
        <w:outlineLvl w:val="9"/>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w:t>
      </w:r>
      <w:r>
        <w:rPr>
          <w:rFonts w:hint="eastAsia" w:ascii="仿宋_GB2312" w:hAnsi="宋体" w:eastAsia="仿宋_GB2312" w:cs="Times New Roman"/>
          <w:color w:val="000000"/>
          <w:kern w:val="0"/>
          <w:sz w:val="32"/>
          <w:szCs w:val="32"/>
          <w:lang w:eastAsia="zh-CN"/>
        </w:rPr>
        <w:t>、牌照费</w:t>
      </w:r>
      <w:r>
        <w:rPr>
          <w:rFonts w:hint="eastAsia" w:ascii="仿宋_GB2312" w:hAnsi="宋体" w:eastAsia="仿宋_GB2312" w:cs="Times New Roman"/>
          <w:color w:val="000000"/>
          <w:kern w:val="0"/>
          <w:sz w:val="32"/>
          <w:szCs w:val="32"/>
        </w:rPr>
        <w:t>）及</w:t>
      </w:r>
      <w:r>
        <w:rPr>
          <w:rFonts w:hint="eastAsia" w:ascii="仿宋_GB2312" w:hAnsi="宋体" w:eastAsia="仿宋_GB2312" w:cs="Times New Roman"/>
          <w:color w:val="000000"/>
          <w:kern w:val="0"/>
          <w:sz w:val="32"/>
          <w:szCs w:val="32"/>
          <w:lang w:eastAsia="zh-CN"/>
        </w:rPr>
        <w:t>按规定保留的公务用车燃料费、维修费、过桥过路费、保险费、安全奖励费用等支出</w:t>
      </w:r>
      <w:r>
        <w:rPr>
          <w:rFonts w:hint="eastAsia" w:ascii="仿宋_GB2312" w:hAnsi="宋体" w:eastAsia="仿宋_GB2312" w:cs="Times New Roman"/>
          <w:color w:val="000000"/>
          <w:kern w:val="0"/>
          <w:sz w:val="32"/>
          <w:szCs w:val="32"/>
        </w:rPr>
        <w:t>；公务接待费反映单位按规定开支的各类公务接待（含外宾接待）支出。</w:t>
      </w: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643" w:firstLineChars="200"/>
        <w:jc w:val="both"/>
        <w:textAlignment w:val="auto"/>
        <w:outlineLvl w:val="9"/>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（十三）其他交通费用：</w:t>
      </w:r>
      <w:r>
        <w:rPr>
          <w:rFonts w:hint="eastAsia" w:ascii="仿宋_GB2312" w:hAnsi="宋体" w:eastAsia="仿宋_GB2312" w:cs="Times New Roman"/>
          <w:color w:val="000000"/>
          <w:kern w:val="0"/>
          <w:sz w:val="32"/>
          <w:szCs w:val="32"/>
        </w:rPr>
        <w:t>填列单位除公务用车运行维护费以外的其他交通费用。如</w:t>
      </w:r>
      <w:r>
        <w:rPr>
          <w:rFonts w:hint="eastAsia" w:ascii="仿宋_GB2312" w:hAnsi="宋体" w:eastAsia="仿宋_GB2312" w:cs="Times New Roman"/>
          <w:color w:val="000000"/>
          <w:kern w:val="0"/>
          <w:sz w:val="32"/>
          <w:szCs w:val="32"/>
          <w:lang w:eastAsia="zh-CN"/>
        </w:rPr>
        <w:t>公务交通补贴、租车费用、出租车费用，飞机、船舶等燃料费、维修费、保险费</w:t>
      </w:r>
      <w:r>
        <w:rPr>
          <w:rFonts w:hint="eastAsia" w:ascii="仿宋_GB2312" w:hAnsi="宋体" w:eastAsia="仿宋_GB2312" w:cs="Times New Roman"/>
          <w:color w:val="000000"/>
          <w:kern w:val="0"/>
          <w:sz w:val="32"/>
          <w:szCs w:val="32"/>
        </w:rPr>
        <w:t>等。</w:t>
      </w:r>
    </w:p>
    <w:p>
      <w:pPr>
        <w:widowControl/>
        <w:spacing w:after="0"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（十四）公务用车购置：</w:t>
      </w:r>
      <w:r>
        <w:rPr>
          <w:rFonts w:hint="eastAsia" w:ascii="仿宋_GB2312" w:hAnsi="宋体" w:eastAsia="仿宋_GB2312" w:cs="Times New Roman"/>
          <w:b w:val="0"/>
          <w:bCs w:val="0"/>
          <w:color w:val="000000"/>
          <w:kern w:val="0"/>
          <w:sz w:val="32"/>
          <w:szCs w:val="32"/>
        </w:rPr>
        <w:t>填</w:t>
      </w:r>
      <w:r>
        <w:rPr>
          <w:rFonts w:hint="eastAsia" w:ascii="仿宋_GB2312" w:hAnsi="宋体" w:eastAsia="仿宋_GB2312" w:cs="Times New Roman"/>
          <w:color w:val="000000"/>
          <w:kern w:val="0"/>
          <w:sz w:val="32"/>
          <w:szCs w:val="32"/>
        </w:rPr>
        <w:t>列单位公务用车车辆购置支出（含车辆购置税</w:t>
      </w:r>
      <w:r>
        <w:rPr>
          <w:rFonts w:hint="eastAsia" w:ascii="仿宋_GB2312" w:hAnsi="宋体" w:eastAsia="仿宋_GB2312" w:cs="Times New Roman"/>
          <w:color w:val="000000"/>
          <w:kern w:val="0"/>
          <w:sz w:val="32"/>
          <w:szCs w:val="32"/>
          <w:lang w:eastAsia="zh-CN"/>
        </w:rPr>
        <w:t>、牌照费</w:t>
      </w:r>
      <w:r>
        <w:rPr>
          <w:rFonts w:hint="eastAsia" w:ascii="仿宋_GB2312" w:hAnsi="宋体" w:eastAsia="仿宋_GB2312" w:cs="Times New Roman"/>
          <w:color w:val="000000"/>
          <w:kern w:val="0"/>
          <w:sz w:val="32"/>
          <w:szCs w:val="32"/>
        </w:rPr>
        <w:t>）。</w:t>
      </w:r>
    </w:p>
    <w:p>
      <w:pPr>
        <w:widowControl/>
        <w:spacing w:after="0"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（十五）其他交通工具购置：</w:t>
      </w:r>
      <w:r>
        <w:rPr>
          <w:rFonts w:hint="eastAsia" w:ascii="仿宋_GB2312" w:hAnsi="宋体" w:eastAsia="仿宋_GB2312" w:cs="Times New Roman"/>
          <w:color w:val="000000"/>
          <w:kern w:val="0"/>
          <w:sz w:val="32"/>
          <w:szCs w:val="32"/>
        </w:rPr>
        <w:t>填列单位除公务用车外的其他各类交通工具（如船舶、飞机</w:t>
      </w:r>
      <w:r>
        <w:rPr>
          <w:rFonts w:hint="eastAsia" w:ascii="仿宋_GB2312" w:hAnsi="宋体" w:eastAsia="仿宋_GB2312" w:cs="Times New Roman"/>
          <w:color w:val="000000"/>
          <w:kern w:val="0"/>
          <w:sz w:val="32"/>
          <w:szCs w:val="32"/>
          <w:lang w:eastAsia="zh-CN"/>
        </w:rPr>
        <w:t>等</w:t>
      </w:r>
      <w:r>
        <w:rPr>
          <w:rFonts w:hint="eastAsia" w:ascii="仿宋_GB2312" w:hAnsi="宋体" w:eastAsia="仿宋_GB2312" w:cs="Times New Roman"/>
          <w:color w:val="000000"/>
          <w:kern w:val="0"/>
          <w:sz w:val="32"/>
          <w:szCs w:val="32"/>
        </w:rPr>
        <w:t>）购置支出（含车辆购置税</w:t>
      </w:r>
      <w:r>
        <w:rPr>
          <w:rFonts w:hint="eastAsia" w:ascii="仿宋_GB2312" w:hAnsi="宋体" w:eastAsia="仿宋_GB2312" w:cs="Times New Roman"/>
          <w:color w:val="000000"/>
          <w:kern w:val="0"/>
          <w:sz w:val="32"/>
          <w:szCs w:val="32"/>
          <w:lang w:eastAsia="zh-CN"/>
        </w:rPr>
        <w:t>、牌照费</w:t>
      </w:r>
      <w:r>
        <w:rPr>
          <w:rFonts w:hint="eastAsia" w:ascii="仿宋_GB2312" w:hAnsi="宋体" w:eastAsia="仿宋_GB2312" w:cs="Times New Roman"/>
          <w:color w:val="000000"/>
          <w:kern w:val="0"/>
          <w:sz w:val="32"/>
          <w:szCs w:val="32"/>
        </w:rPr>
        <w:t>）。</w:t>
      </w:r>
    </w:p>
    <w:p>
      <w:pPr>
        <w:widowControl/>
        <w:spacing w:after="0" w:line="560" w:lineRule="exact"/>
        <w:ind w:firstLine="643" w:firstLineChars="200"/>
        <w:rPr>
          <w:rFonts w:hint="eastAsia"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（十六）机关运行经费：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bidi w:val="0"/>
        <w:jc w:val="left"/>
        <w:rPr>
          <w:rFonts w:hint="eastAsia" w:ascii="仿宋_GB2312" w:hAnsi="Cambria" w:eastAsia="仿宋_GB2312" w:cs="ArialUnicodeMS"/>
          <w:kern w:val="0"/>
          <w:sz w:val="32"/>
          <w:szCs w:val="32"/>
          <w:vertAlign w:val="baseline"/>
          <w:lang w:val="en-US" w:eastAsia="zh-CN"/>
        </w:rPr>
      </w:pPr>
      <w:r>
        <w:rPr>
          <w:rFonts w:hint="eastAsia" w:ascii="仿宋_GB2312" w:hAnsi="宋体" w:eastAsia="仿宋_GB2312" w:cs="Times New Roman"/>
          <w:b/>
          <w:bCs/>
          <w:color w:val="000000"/>
          <w:kern w:val="0"/>
          <w:sz w:val="32"/>
          <w:szCs w:val="32"/>
          <w:lang w:val="en-US" w:eastAsia="zh-CN"/>
        </w:rPr>
        <w:t>（十七）经费形式:</w:t>
      </w:r>
      <w:r>
        <w:rPr>
          <w:rFonts w:hint="eastAsia" w:ascii="仿宋_GB2312" w:hAnsi="宋体" w:eastAsia="仿宋_GB2312" w:cs="Times New Roman"/>
          <w:b w:val="0"/>
          <w:bCs w:val="0"/>
          <w:color w:val="000000"/>
          <w:kern w:val="0"/>
          <w:sz w:val="32"/>
          <w:szCs w:val="32"/>
          <w:lang w:val="en-US" w:eastAsia="zh-CN"/>
        </w:rPr>
        <w:t>按</w:t>
      </w:r>
      <w:r>
        <w:rPr>
          <w:rFonts w:hint="eastAsia" w:ascii="仿宋_GB2312" w:hAnsi="宋体" w:eastAsia="仿宋_GB2312" w:cs="Times New Roman"/>
          <w:color w:val="000000"/>
          <w:kern w:val="0"/>
          <w:sz w:val="32"/>
          <w:szCs w:val="32"/>
          <w:lang w:val="en-US" w:eastAsia="zh-CN"/>
        </w:rPr>
        <w:t>照经费来源，</w:t>
      </w:r>
      <w:r>
        <w:rPr>
          <w:rFonts w:hint="eastAsia" w:ascii="仿宋_GB2312" w:hAnsi="Cambria" w:eastAsia="仿宋_GB2312" w:cs="ArialUnicodeMS"/>
          <w:kern w:val="0"/>
          <w:sz w:val="32"/>
          <w:szCs w:val="32"/>
          <w:vertAlign w:val="baseline"/>
          <w:lang w:val="en-US" w:eastAsia="zh-CN"/>
        </w:rPr>
        <w:t>可分为财政拨款、财政性资金基本保证、财政性资金定额或定项补助、财政性资金零补助四类。</w:t>
      </w:r>
    </w:p>
    <w:p>
      <w:pPr>
        <w:bidi w:val="0"/>
        <w:rPr>
          <w:rFonts w:hint="eastAsia" w:asciiTheme="minorHAnsi" w:hAnsiTheme="minorHAnsi" w:eastAsiaTheme="minorEastAsia" w:cstheme="minorBidi"/>
          <w:kern w:val="2"/>
          <w:sz w:val="21"/>
          <w:szCs w:val="22"/>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left"/>
        <w:rPr>
          <w:rFonts w:hint="eastAsia"/>
          <w:lang w:val="en-US" w:eastAsia="zh-CN"/>
        </w:rPr>
        <w:sectPr>
          <w:headerReference r:id="rId17" w:type="default"/>
          <w:type w:val="continuous"/>
          <w:pgSz w:w="11906" w:h="16838"/>
          <w:pgMar w:top="2098" w:right="1474" w:bottom="1985" w:left="1588" w:header="851" w:footer="992" w:gutter="0"/>
          <w:pgNumType w:fmt="numberInDash"/>
          <w:cols w:space="425" w:num="1"/>
          <w:docGrid w:type="lines" w:linePitch="312" w:charSpace="0"/>
        </w:sectPr>
      </w:pPr>
    </w:p>
    <w:p>
      <w:pPr>
        <w:tabs>
          <w:tab w:val="left" w:pos="235"/>
        </w:tabs>
        <w:bidi w:val="0"/>
        <w:jc w:val="left"/>
        <w:rPr>
          <w:rFonts w:hint="eastAsia"/>
          <w:lang w:val="en-US" w:eastAsia="zh-CN"/>
        </w:rPr>
        <w:sectPr>
          <w:pgSz w:w="11906" w:h="16838"/>
          <w:pgMar w:top="2098" w:right="1474" w:bottom="1985" w:left="1588" w:header="851" w:footer="992" w:gutter="0"/>
          <w:pgNumType w:fmt="numberInDash"/>
          <w:cols w:space="425" w:num="1"/>
          <w:docGrid w:type="lines" w:linePitch="312" w:charSpace="0"/>
        </w:sectPr>
      </w:pPr>
      <w:r>
        <w:rPr>
          <w:sz w:val="72"/>
        </w:rPr>
        <mc:AlternateContent>
          <mc:Choice Requires="wps">
            <w:drawing>
              <wp:anchor distT="0" distB="0" distL="114300" distR="114300" simplePos="0" relativeHeight="251660288" behindDoc="0" locked="0" layoutInCell="1" allowOverlap="1">
                <wp:simplePos x="0" y="0"/>
                <wp:positionH relativeFrom="column">
                  <wp:posOffset>-1042035</wp:posOffset>
                </wp:positionH>
                <wp:positionV relativeFrom="paragraph">
                  <wp:posOffset>1725295</wp:posOffset>
                </wp:positionV>
                <wp:extent cx="7793355" cy="3341370"/>
                <wp:effectExtent l="4445" t="4445" r="12700" b="6985"/>
                <wp:wrapNone/>
                <wp:docPr id="229" name="文本框 229"/>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chemeClr val="bg1"/>
                          </a:bgClr>
                        </a:pattFill>
                        <a:ln w="6350">
                          <a:solidFill>
                            <a:srgbClr val="FFD966"/>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hint="eastAsia"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第四部分 </w:t>
                            </w:r>
                          </w:p>
                          <w:p>
                            <w:pPr>
                              <w:widowControl/>
                              <w:jc w:val="center"/>
                              <w:rPr>
                                <w:rFonts w:hint="default"/>
                                <w:lang w:val="en-US"/>
                                <w14:textOutline w14:w="9525">
                                  <w14:solidFill>
                                    <w14:schemeClr w14:val="tx1">
                                      <w14:lumMod w14:val="50000"/>
                                      <w14:lumOff w14:val="50000"/>
                                    </w14:schemeClr>
                                  </w14:solidFill>
                                  <w14:round/>
                                </w14:textOutline>
                              </w:rPr>
                            </w:pPr>
                            <w:r>
                              <w:rPr>
                                <w:rFonts w:hint="eastAsia"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2019年度部门决算报表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2.05pt;margin-top:135.85pt;height:263.1pt;width:613.65pt;z-index:251660288;v-text-anchor:middle;mso-width-relative:page;mso-height-relative:page;" fillcolor="#FFD966" filled="t" stroked="t" coordsize="21600,21600" o:gfxdata="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hqDitwAAAANAQAADwAAAAAAAAABACAAAAAi&#10;AAAAZHJzL2Rvd25yZXYueG1sUEsBAhQAFAAAAAgAh07iQMn1XHp4AgAACAUAAA4AAAAAAAAAAQAg&#10;AAAAKwEAAGRycy9lMm9Eb2MueG1sUEsFBgAAAAAGAAYAWQEAABUGAAAAAA==&#10;">
                <v:fill type="pattern" on="t" color2="#FFFFFF [3212]" o:title="5%" focussize="0,0" r:id="rId22"/>
                <v:stroke weight="0.5pt" color="#FFD966 [3204]" joinstyle="round"/>
                <v:imagedata o:title=""/>
                <o:lock v:ext="edit" aspectratio="f"/>
                <v:textbox>
                  <w:txbxContent>
                    <w:p>
                      <w:pPr>
                        <w:widowControl/>
                        <w:jc w:val="center"/>
                        <w:rPr>
                          <w:rFonts w:hint="eastAsia"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第四部分 </w:t>
                      </w:r>
                    </w:p>
                    <w:p>
                      <w:pPr>
                        <w:widowControl/>
                        <w:jc w:val="center"/>
                        <w:rPr>
                          <w:rFonts w:hint="default"/>
                          <w:lang w:val="en-US"/>
                          <w14:textOutline w14:w="9525">
                            <w14:solidFill>
                              <w14:schemeClr w14:val="tx1">
                                <w14:lumMod w14:val="50000"/>
                                <w14:lumOff w14:val="50000"/>
                              </w14:schemeClr>
                            </w14:solidFill>
                            <w14:round/>
                          </w14:textOutline>
                        </w:rPr>
                      </w:pPr>
                      <w:r>
                        <w:rPr>
                          <w:rFonts w:hint="eastAsia"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2019年度部门决算报表</w:t>
                      </w:r>
                    </w:p>
                  </w:txbxContent>
                </v:textbox>
              </v:shape>
            </w:pict>
          </mc:Fallback>
        </mc:AlternateContent>
      </w:r>
    </w:p>
    <w:p>
      <w:pPr>
        <w:tabs>
          <w:tab w:val="left" w:pos="886"/>
        </w:tabs>
        <w:bidi w:val="0"/>
        <w:jc w:val="left"/>
        <w:rPr>
          <w:rFonts w:hint="default"/>
          <w:lang w:val="en-US" w:eastAsia="zh-CN"/>
        </w:rPr>
      </w:pPr>
    </w:p>
    <w:p>
      <w:pPr>
        <w:bidi w:val="0"/>
        <w:jc w:val="left"/>
        <w:rPr>
          <w:rFonts w:hint="default"/>
          <w:lang w:val="en-US" w:eastAsia="zh-CN"/>
        </w:rPr>
      </w:pPr>
    </w:p>
    <w:tbl>
      <w:tblPr>
        <w:tblStyle w:val="6"/>
        <w:tblpPr w:leftFromText="180" w:rightFromText="180" w:vertAnchor="text" w:horzAnchor="page" w:tblpXSpec="center" w:tblpY="31"/>
        <w:tblOverlap w:val="never"/>
        <w:tblW w:w="9517" w:type="dxa"/>
        <w:jc w:val="center"/>
        <w:shd w:val="clear" w:color="auto" w:fill="auto"/>
        <w:tblLayout w:type="fixed"/>
        <w:tblCellMar>
          <w:top w:w="0" w:type="dxa"/>
          <w:left w:w="0" w:type="dxa"/>
          <w:bottom w:w="0" w:type="dxa"/>
          <w:right w:w="0" w:type="dxa"/>
        </w:tblCellMar>
      </w:tblPr>
      <w:tblGrid>
        <w:gridCol w:w="3236"/>
        <w:gridCol w:w="731"/>
        <w:gridCol w:w="691"/>
        <w:gridCol w:w="3474"/>
        <w:gridCol w:w="541"/>
        <w:gridCol w:w="844"/>
      </w:tblGrid>
      <w:tr>
        <w:tblPrEx>
          <w:tblCellMar>
            <w:top w:w="0" w:type="dxa"/>
            <w:left w:w="0" w:type="dxa"/>
            <w:bottom w:w="0" w:type="dxa"/>
            <w:right w:w="0" w:type="dxa"/>
          </w:tblCellMar>
        </w:tblPrEx>
        <w:trPr>
          <w:trHeight w:val="489" w:hRule="atLeast"/>
          <w:jc w:val="center"/>
        </w:trPr>
        <w:tc>
          <w:tcPr>
            <w:tcW w:w="9517" w:type="dxa"/>
            <w:gridSpan w:val="6"/>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宋体" w:eastAsia="黑体" w:cs="黑体"/>
                <w:i w:val="0"/>
                <w:color w:val="000000"/>
                <w:sz w:val="32"/>
                <w:szCs w:val="32"/>
                <w:u w:val="none"/>
              </w:rPr>
            </w:pPr>
            <w:r>
              <w:rPr>
                <w:rFonts w:hint="eastAsia" w:ascii="黑体" w:hAnsi="宋体" w:eastAsia="黑体" w:cs="黑体"/>
                <w:i w:val="0"/>
                <w:color w:val="000000"/>
                <w:kern w:val="0"/>
                <w:sz w:val="32"/>
                <w:szCs w:val="32"/>
                <w:u w:val="none"/>
                <w:lang w:val="en-US" w:eastAsia="zh-CN" w:bidi="ar"/>
              </w:rPr>
              <w:t>收入支出决算总表</w:t>
            </w:r>
          </w:p>
        </w:tc>
      </w:tr>
      <w:tr>
        <w:tblPrEx>
          <w:shd w:val="clear" w:color="auto" w:fill="auto"/>
          <w:tblCellMar>
            <w:top w:w="0" w:type="dxa"/>
            <w:left w:w="0" w:type="dxa"/>
            <w:bottom w:w="0" w:type="dxa"/>
            <w:right w:w="0" w:type="dxa"/>
          </w:tblCellMar>
        </w:tblPrEx>
        <w:trPr>
          <w:trHeight w:val="205" w:hRule="atLeast"/>
          <w:jc w:val="center"/>
        </w:trPr>
        <w:tc>
          <w:tcPr>
            <w:tcW w:w="3236" w:type="dxa"/>
            <w:tcBorders>
              <w:top w:val="nil"/>
              <w:left w:val="nil"/>
              <w:bottom w:val="nil"/>
              <w:right w:val="nil"/>
            </w:tcBorders>
            <w:shd w:val="clear" w:color="auto" w:fill="auto"/>
            <w:noWrap/>
            <w:tcMar>
              <w:top w:w="15" w:type="dxa"/>
              <w:left w:w="15" w:type="dxa"/>
              <w:right w:w="15" w:type="dxa"/>
            </w:tcMar>
            <w:vAlign w:val="bottom"/>
          </w:tcPr>
          <w:p>
            <w:pPr>
              <w:rPr>
                <w:rFonts w:hint="eastAsia" w:ascii="Arial" w:hAnsi="Arial" w:cs="Arial"/>
                <w:i w:val="0"/>
                <w:color w:val="000000"/>
                <w:sz w:val="20"/>
                <w:szCs w:val="20"/>
                <w:u w:val="none"/>
              </w:rPr>
            </w:pPr>
          </w:p>
        </w:tc>
        <w:tc>
          <w:tcPr>
            <w:tcW w:w="731"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691"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4859" w:type="dxa"/>
            <w:gridSpan w:val="3"/>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公开01表</w:t>
            </w:r>
          </w:p>
        </w:tc>
      </w:tr>
      <w:tr>
        <w:tblPrEx>
          <w:tblCellMar>
            <w:top w:w="0" w:type="dxa"/>
            <w:left w:w="0" w:type="dxa"/>
            <w:bottom w:w="0" w:type="dxa"/>
            <w:right w:w="0" w:type="dxa"/>
          </w:tblCellMar>
        </w:tblPrEx>
        <w:trPr>
          <w:trHeight w:val="421" w:hRule="atLeast"/>
          <w:jc w:val="center"/>
        </w:trPr>
        <w:tc>
          <w:tcPr>
            <w:tcW w:w="3236"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w:t>
            </w:r>
            <w:r>
              <w:rPr>
                <w:rFonts w:hint="eastAsia" w:ascii="Arial" w:hAnsi="Arial" w:cs="Arial"/>
                <w:i w:val="0"/>
                <w:color w:val="000000"/>
                <w:sz w:val="20"/>
                <w:szCs w:val="20"/>
                <w:u w:val="none"/>
                <w:lang w:val="en-US" w:eastAsia="zh-CN"/>
              </w:rPr>
              <w:t>唐山市丰南区图书馆</w:t>
            </w:r>
          </w:p>
        </w:tc>
        <w:tc>
          <w:tcPr>
            <w:tcW w:w="731"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691"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4859" w:type="dxa"/>
            <w:gridSpan w:val="3"/>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tblCellMar>
            <w:top w:w="0" w:type="dxa"/>
            <w:left w:w="0" w:type="dxa"/>
            <w:bottom w:w="0" w:type="dxa"/>
            <w:right w:w="0" w:type="dxa"/>
          </w:tblCellMar>
        </w:tblPrEx>
        <w:trPr>
          <w:trHeight w:val="284" w:hRule="atLeast"/>
          <w:jc w:val="center"/>
        </w:trPr>
        <w:tc>
          <w:tcPr>
            <w:tcW w:w="465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收入</w:t>
            </w:r>
          </w:p>
        </w:tc>
        <w:tc>
          <w:tcPr>
            <w:tcW w:w="4859"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支出</w:t>
            </w:r>
          </w:p>
        </w:tc>
      </w:tr>
      <w:tr>
        <w:tblPrEx>
          <w:shd w:val="clear" w:color="auto" w:fill="auto"/>
          <w:tblCellMar>
            <w:top w:w="0" w:type="dxa"/>
            <w:left w:w="0" w:type="dxa"/>
            <w:bottom w:w="0" w:type="dxa"/>
            <w:right w:w="0" w:type="dxa"/>
          </w:tblCellMar>
        </w:tblPrEx>
        <w:trPr>
          <w:trHeight w:val="770"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行次</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金额</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行次</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金额</w:t>
            </w:r>
          </w:p>
        </w:tc>
      </w:tr>
      <w:tr>
        <w:tblPrEx>
          <w:shd w:val="clear" w:color="auto" w:fill="auto"/>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栏次</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栏次</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一、一般公共预算财政拨款收入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tabs>
                <w:tab w:val="left" w:pos="478"/>
                <w:tab w:val="right" w:pos="1001"/>
              </w:tabs>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525.24</w:t>
            </w:r>
            <w:r>
              <w:rPr>
                <w:rFonts w:hint="eastAsia" w:ascii="宋体" w:hAnsi="宋体" w:eastAsia="宋体" w:cs="宋体"/>
                <w:i w:val="0"/>
                <w:color w:val="000000"/>
                <w:kern w:val="0"/>
                <w:sz w:val="22"/>
                <w:szCs w:val="22"/>
                <w:u w:val="none"/>
                <w:lang w:val="en-US" w:eastAsia="zh-CN" w:bidi="ar"/>
              </w:rPr>
              <w:tab/>
            </w: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一、一般公共服务支出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二、政府性基金预算财政拨款收入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二、外交支出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tblPrEx>
          <w:tblCellMar>
            <w:top w:w="0" w:type="dxa"/>
            <w:left w:w="0" w:type="dxa"/>
            <w:bottom w:w="0" w:type="dxa"/>
            <w:right w:w="0" w:type="dxa"/>
          </w:tblCellMar>
        </w:tblPrEx>
        <w:trPr>
          <w:trHeight w:val="182"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三、上级补助收入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三、国防支出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tblPrEx>
          <w:shd w:val="clear" w:color="auto" w:fill="auto"/>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四、事业收入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四、公共安全支出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tblPrEx>
          <w:shd w:val="clear" w:color="auto" w:fill="auto"/>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五、经营收入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五、教育支出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tblPrEx>
          <w:shd w:val="clear" w:color="auto" w:fill="auto"/>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六、附属单位上缴收入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tabs>
                <w:tab w:val="left" w:pos="313"/>
                <w:tab w:val="right" w:pos="1001"/>
              </w:tabs>
              <w:jc w:val="both"/>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ab/>
            </w: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六、科学技术支出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tblPrEx>
          <w:shd w:val="clear" w:color="auto" w:fill="auto"/>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七、其他收入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0.5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七、文化旅游体育与传媒支出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548.97　</w:t>
            </w:r>
          </w:p>
        </w:tc>
      </w:tr>
      <w:tr>
        <w:tblPrEx>
          <w:shd w:val="clear" w:color="auto" w:fill="auto"/>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八、社会保障和就业支出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九、卫生健康支出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tblPrEx>
          <w:shd w:val="clear" w:color="auto" w:fill="auto"/>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十、节能环保支出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tblPrEx>
          <w:shd w:val="clear" w:color="auto" w:fill="auto"/>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十一、城乡社区支出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tblPrEx>
          <w:shd w:val="clear" w:color="auto" w:fill="auto"/>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十二、农林水支出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tblPrEx>
          <w:shd w:val="clear" w:color="auto" w:fill="auto"/>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十三、交通运输支出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tblPrEx>
          <w:shd w:val="clear" w:color="auto" w:fill="auto"/>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十四、资源勘探信息等支出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tblPrEx>
          <w:tblCellMar>
            <w:top w:w="0" w:type="dxa"/>
            <w:left w:w="0" w:type="dxa"/>
            <w:bottom w:w="0" w:type="dxa"/>
            <w:right w:w="0" w:type="dxa"/>
          </w:tblCellMar>
        </w:tblPrEx>
        <w:trPr>
          <w:trHeight w:val="357"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十五、商业服务业等支出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tblPrEx>
          <w:shd w:val="clear" w:color="auto" w:fill="auto"/>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十六、金融支出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tblPrEx>
          <w:shd w:val="clear" w:color="auto" w:fill="auto"/>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十七、援助其他地区支出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tblPrEx>
          <w:shd w:val="clear" w:color="auto" w:fill="auto"/>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十八、自然资源海洋气象等支出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tblPrEx>
          <w:shd w:val="clear" w:color="auto" w:fill="auto"/>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十九、住房保障支出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tblPrEx>
          <w:shd w:val="clear" w:color="auto" w:fill="auto"/>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二十、粮油物资储备支出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tblPrEx>
          <w:shd w:val="clear" w:color="auto" w:fill="auto"/>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二十一、灾害防治及应急管理支出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tblPrEx>
          <w:shd w:val="clear" w:color="auto" w:fill="auto"/>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二十二、其他支出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tblPrEx>
          <w:shd w:val="clear" w:color="auto" w:fill="auto"/>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二十四、债务付息支出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51</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本年收入合计</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525.74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本年支出合计</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548.97　</w:t>
            </w:r>
          </w:p>
        </w:tc>
      </w:tr>
      <w:tr>
        <w:tblPrEx>
          <w:shd w:val="clear" w:color="auto" w:fill="auto"/>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用事业基金弥补收支差额</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结余分配</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tblPrEx>
          <w:shd w:val="clear" w:color="auto" w:fill="auto"/>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年初结转和结余</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23.24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年末结转和结余</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0.003　</w:t>
            </w:r>
          </w:p>
        </w:tc>
      </w:tr>
      <w:tr>
        <w:tblPrEx>
          <w:shd w:val="clear" w:color="auto" w:fill="auto"/>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tblPrEx>
          <w:shd w:val="clear" w:color="auto" w:fill="auto"/>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总计</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548.98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总计</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548.98　</w:t>
            </w:r>
          </w:p>
        </w:tc>
      </w:tr>
      <w:tr>
        <w:tblPrEx>
          <w:shd w:val="clear" w:color="auto" w:fill="auto"/>
          <w:tblCellMar>
            <w:top w:w="0" w:type="dxa"/>
            <w:left w:w="0" w:type="dxa"/>
            <w:bottom w:w="0" w:type="dxa"/>
            <w:right w:w="0" w:type="dxa"/>
          </w:tblCellMar>
        </w:tblPrEx>
        <w:trPr>
          <w:trHeight w:val="213" w:hRule="atLeast"/>
          <w:jc w:val="center"/>
        </w:trPr>
        <w:tc>
          <w:tcPr>
            <w:tcW w:w="9517" w:type="dxa"/>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注：本表反映部门本年度的总收支和年末结转结余情况。</w:t>
            </w:r>
          </w:p>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bl>
    <w:tbl>
      <w:tblPr>
        <w:tblStyle w:val="6"/>
        <w:tblW w:w="9580" w:type="dxa"/>
        <w:jc w:val="center"/>
        <w:shd w:val="clear" w:color="auto" w:fill="auto"/>
        <w:tblLayout w:type="autofit"/>
        <w:tblCellMar>
          <w:top w:w="0" w:type="dxa"/>
          <w:left w:w="0" w:type="dxa"/>
          <w:bottom w:w="0" w:type="dxa"/>
          <w:right w:w="0" w:type="dxa"/>
        </w:tblCellMar>
      </w:tblPr>
      <w:tblGrid>
        <w:gridCol w:w="718"/>
        <w:gridCol w:w="41"/>
        <w:gridCol w:w="41"/>
        <w:gridCol w:w="2450"/>
        <w:gridCol w:w="999"/>
        <w:gridCol w:w="999"/>
        <w:gridCol w:w="857"/>
        <w:gridCol w:w="857"/>
        <w:gridCol w:w="857"/>
        <w:gridCol w:w="857"/>
        <w:gridCol w:w="1005"/>
      </w:tblGrid>
      <w:tr>
        <w:tblPrEx>
          <w:tblCellMar>
            <w:top w:w="0" w:type="dxa"/>
            <w:left w:w="0" w:type="dxa"/>
            <w:bottom w:w="0" w:type="dxa"/>
            <w:right w:w="0" w:type="dxa"/>
          </w:tblCellMar>
        </w:tblPrEx>
        <w:trPr>
          <w:trHeight w:val="670" w:hRule="atLeast"/>
          <w:jc w:val="center"/>
        </w:trPr>
        <w:tc>
          <w:tcPr>
            <w:tcW w:w="9580" w:type="dxa"/>
            <w:gridSpan w:val="11"/>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黑体" w:hAnsi="宋体" w:eastAsia="黑体" w:cs="黑体"/>
                <w:i w:val="0"/>
                <w:color w:val="000000"/>
                <w:kern w:val="0"/>
                <w:sz w:val="32"/>
                <w:szCs w:val="32"/>
                <w:u w:val="none"/>
                <w:lang w:val="en-US" w:eastAsia="zh-CN" w:bidi="ar"/>
              </w:rPr>
            </w:pPr>
          </w:p>
          <w:p>
            <w:pPr>
              <w:keepNext w:val="0"/>
              <w:keepLines w:val="0"/>
              <w:widowControl/>
              <w:suppressLineNumbers w:val="0"/>
              <w:jc w:val="center"/>
              <w:textAlignment w:val="bottom"/>
              <w:rPr>
                <w:rFonts w:ascii="黑体" w:hAnsi="宋体" w:eastAsia="黑体" w:cs="黑体"/>
                <w:i w:val="0"/>
                <w:color w:val="000000"/>
                <w:sz w:val="32"/>
                <w:szCs w:val="32"/>
                <w:u w:val="none"/>
              </w:rPr>
            </w:pPr>
            <w:r>
              <w:rPr>
                <w:rFonts w:hint="eastAsia" w:ascii="黑体" w:hAnsi="宋体" w:eastAsia="黑体" w:cs="黑体"/>
                <w:i w:val="0"/>
                <w:color w:val="000000"/>
                <w:kern w:val="0"/>
                <w:sz w:val="32"/>
                <w:szCs w:val="32"/>
                <w:u w:val="none"/>
                <w:lang w:val="en-US" w:eastAsia="zh-CN" w:bidi="ar"/>
              </w:rPr>
              <w:t>收入决算表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hint="eastAsia"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公开02表</w:t>
            </w:r>
          </w:p>
        </w:tc>
      </w:tr>
      <w:tr>
        <w:tblPrEx>
          <w:shd w:val="clear" w:color="auto" w:fill="auto"/>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r>
              <w:rPr>
                <w:rFonts w:hint="eastAsia" w:ascii="Arial" w:hAnsi="Arial" w:cs="Arial"/>
                <w:i w:val="0"/>
                <w:color w:val="000000"/>
                <w:sz w:val="20"/>
                <w:szCs w:val="20"/>
                <w:u w:val="none"/>
                <w:lang w:val="en-US" w:eastAsia="zh-CN"/>
              </w:rPr>
              <w:t>唐山市丰南区图书馆</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gridSpan w:val="3"/>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shd w:val="clear" w:color="auto" w:fill="auto"/>
          <w:tblCellMar>
            <w:top w:w="0" w:type="dxa"/>
            <w:left w:w="0" w:type="dxa"/>
            <w:bottom w:w="0" w:type="dxa"/>
            <w:right w:w="0" w:type="dxa"/>
          </w:tblCellMar>
        </w:tblPrEx>
        <w:trPr>
          <w:trHeight w:val="385"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本年收入合计</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财政拨款收入</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上级补助收入</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事业收入</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经营收入</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附属单位上缴收入</w:t>
            </w:r>
          </w:p>
        </w:tc>
        <w:tc>
          <w:tcPr>
            <w:tcW w:w="100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其他收入</w:t>
            </w:r>
          </w:p>
        </w:tc>
      </w:tr>
      <w:tr>
        <w:tblPrEx>
          <w:shd w:val="clear" w:color="auto" w:fill="auto"/>
          <w:tblCellMar>
            <w:top w:w="0" w:type="dxa"/>
            <w:left w:w="0" w:type="dxa"/>
            <w:bottom w:w="0" w:type="dxa"/>
            <w:right w:w="0" w:type="dxa"/>
          </w:tblCellMar>
        </w:tblPrEx>
        <w:trPr>
          <w:trHeight w:val="380" w:hRule="atLeast"/>
          <w:jc w:val="center"/>
        </w:trPr>
        <w:tc>
          <w:tcPr>
            <w:tcW w:w="1124"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科目名称</w:t>
            </w: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80" w:hRule="atLeast"/>
          <w:jc w:val="center"/>
        </w:trPr>
        <w:tc>
          <w:tcPr>
            <w:tcW w:w="1124"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80" w:hRule="atLeast"/>
          <w:jc w:val="center"/>
        </w:trPr>
        <w:tc>
          <w:tcPr>
            <w:tcW w:w="1124"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栏次</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0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r>
      <w:tr>
        <w:tblPrEx>
          <w:shd w:val="clear" w:color="auto" w:fill="auto"/>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i w:val="0"/>
                <w:color w:val="000000"/>
                <w:sz w:val="22"/>
                <w:szCs w:val="22"/>
                <w:u w:val="none"/>
                <w:lang w:val="en-US" w:eastAsia="zh-CN"/>
              </w:rPr>
            </w:pPr>
            <w:r>
              <w:rPr>
                <w:rFonts w:hint="eastAsia" w:ascii="宋体" w:hAnsi="宋体" w:eastAsia="宋体" w:cs="宋体"/>
                <w:b/>
                <w:i w:val="0"/>
                <w:color w:val="000000"/>
                <w:sz w:val="22"/>
                <w:szCs w:val="22"/>
                <w:u w:val="none"/>
                <w:lang w:val="en-US" w:eastAsia="zh-CN"/>
              </w:rPr>
              <w:t>525.74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i w:val="0"/>
                <w:color w:val="000000"/>
                <w:sz w:val="22"/>
                <w:szCs w:val="22"/>
                <w:u w:val="none"/>
                <w:lang w:val="en-US" w:eastAsia="zh-CN"/>
              </w:rPr>
            </w:pPr>
            <w:r>
              <w:rPr>
                <w:rFonts w:hint="eastAsia" w:ascii="宋体" w:hAnsi="宋体" w:eastAsia="宋体" w:cs="宋体"/>
                <w:b/>
                <w:i w:val="0"/>
                <w:color w:val="000000"/>
                <w:sz w:val="22"/>
                <w:szCs w:val="22"/>
                <w:u w:val="none"/>
                <w:lang w:val="en-US" w:eastAsia="zh-CN"/>
              </w:rPr>
              <w:t>525.24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i w:val="0"/>
                <w:color w:val="000000"/>
                <w:sz w:val="22"/>
                <w:szCs w:val="22"/>
                <w:u w:val="none"/>
                <w:lang w:val="en-US" w:eastAsia="zh-CN"/>
              </w:rPr>
            </w:pPr>
            <w:r>
              <w:rPr>
                <w:rFonts w:hint="eastAsia" w:ascii="宋体" w:hAnsi="宋体" w:eastAsia="宋体" w:cs="宋体"/>
                <w:b/>
                <w:i w:val="0"/>
                <w:color w:val="000000"/>
                <w:sz w:val="22"/>
                <w:szCs w:val="22"/>
                <w:u w:val="none"/>
                <w:lang w:val="en-US" w:eastAsia="zh-CN"/>
              </w:rPr>
              <w:t>0.5</w:t>
            </w:r>
          </w:p>
        </w:tc>
      </w:tr>
      <w:tr>
        <w:tblPrEx>
          <w:shd w:val="clear" w:color="auto" w:fill="auto"/>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文化旅游体育与传媒支出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525.74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525.24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0.5</w:t>
            </w: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20701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文化和旅游</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505.74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505.24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0.5</w:t>
            </w:r>
          </w:p>
        </w:tc>
      </w:tr>
      <w:tr>
        <w:tblPrEx>
          <w:shd w:val="clear" w:color="auto" w:fill="auto"/>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2070104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图书馆</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505.74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505.24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0.5</w:t>
            </w: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20799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其他文化体育与传媒支出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2079999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其他文化体育与传媒支出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85" w:hRule="atLeast"/>
          <w:jc w:val="center"/>
        </w:trPr>
        <w:tc>
          <w:tcPr>
            <w:tcW w:w="0" w:type="auto"/>
            <w:gridSpan w:val="11"/>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注：本表反映部门本年度取得的各项收入情况。</w:t>
            </w:r>
          </w:p>
        </w:tc>
      </w:tr>
    </w:tbl>
    <w:p>
      <w:pPr>
        <w:bidi w:val="0"/>
        <w:jc w:val="left"/>
        <w:rPr>
          <w:rFonts w:hint="default"/>
          <w:lang w:val="en-US" w:eastAsia="zh-CN"/>
        </w:rPr>
      </w:pPr>
    </w:p>
    <w:p>
      <w:pPr>
        <w:rPr>
          <w:rFonts w:hint="default"/>
          <w:lang w:val="en-US" w:eastAsia="zh-CN"/>
        </w:rPr>
      </w:pPr>
      <w:r>
        <w:rPr>
          <w:rFonts w:hint="default"/>
          <w:lang w:val="en-US" w:eastAsia="zh-CN"/>
        </w:rPr>
        <w:br w:type="page"/>
      </w:r>
    </w:p>
    <w:tbl>
      <w:tblPr>
        <w:tblStyle w:val="6"/>
        <w:tblW w:w="9680" w:type="dxa"/>
        <w:jc w:val="center"/>
        <w:shd w:val="clear" w:color="auto" w:fill="auto"/>
        <w:tblLayout w:type="fixed"/>
        <w:tblCellMar>
          <w:top w:w="0" w:type="dxa"/>
          <w:left w:w="0" w:type="dxa"/>
          <w:bottom w:w="0" w:type="dxa"/>
          <w:right w:w="0" w:type="dxa"/>
        </w:tblCellMar>
      </w:tblPr>
      <w:tblGrid>
        <w:gridCol w:w="941"/>
        <w:gridCol w:w="53"/>
        <w:gridCol w:w="111"/>
        <w:gridCol w:w="1359"/>
        <w:gridCol w:w="1161"/>
        <w:gridCol w:w="1161"/>
        <w:gridCol w:w="1161"/>
        <w:gridCol w:w="1161"/>
        <w:gridCol w:w="1161"/>
        <w:gridCol w:w="1411"/>
      </w:tblGrid>
      <w:tr>
        <w:tblPrEx>
          <w:shd w:val="clear" w:color="auto" w:fill="auto"/>
          <w:tblCellMar>
            <w:top w:w="0" w:type="dxa"/>
            <w:left w:w="0" w:type="dxa"/>
            <w:bottom w:w="0" w:type="dxa"/>
            <w:right w:w="0" w:type="dxa"/>
          </w:tblCellMar>
        </w:tblPrEx>
        <w:trPr>
          <w:trHeight w:val="612"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黑体" w:hAnsi="宋体" w:eastAsia="黑体" w:cs="黑体"/>
                <w:i w:val="0"/>
                <w:color w:val="000000"/>
                <w:sz w:val="32"/>
                <w:szCs w:val="32"/>
                <w:u w:val="none"/>
              </w:rPr>
            </w:pPr>
            <w:r>
              <w:rPr>
                <w:rFonts w:hint="eastAsia" w:ascii="黑体" w:hAnsi="宋体" w:eastAsia="黑体" w:cs="黑体"/>
                <w:i w:val="0"/>
                <w:color w:val="000000"/>
                <w:kern w:val="0"/>
                <w:sz w:val="32"/>
                <w:szCs w:val="32"/>
                <w:u w:val="none"/>
                <w:lang w:val="en-US" w:eastAsia="zh-CN" w:bidi="ar"/>
              </w:rPr>
              <w:t>支出决算表</w:t>
            </w:r>
          </w:p>
        </w:tc>
      </w:tr>
      <w:tr>
        <w:tblPrEx>
          <w:shd w:val="clear" w:color="auto" w:fill="auto"/>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rPr>
                <w:rFonts w:hint="eastAsia" w:ascii="Arial" w:hAnsi="Arial" w:cs="Arial"/>
                <w:i w:val="0"/>
                <w:color w:val="000000"/>
                <w:sz w:val="20"/>
                <w:szCs w:val="20"/>
                <w:u w:val="none"/>
              </w:rPr>
            </w:pP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1359"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1411"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公开03表</w:t>
            </w:r>
          </w:p>
        </w:tc>
      </w:tr>
      <w:tr>
        <w:tblPrEx>
          <w:shd w:val="clear" w:color="auto" w:fill="auto"/>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w:t>
            </w: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1359"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r>
              <w:rPr>
                <w:rFonts w:hint="eastAsia" w:ascii="Arial" w:hAnsi="Arial" w:cs="Arial"/>
                <w:i w:val="0"/>
                <w:color w:val="000000"/>
                <w:sz w:val="20"/>
                <w:szCs w:val="20"/>
                <w:u w:val="none"/>
                <w:lang w:val="en-US" w:eastAsia="zh-CN"/>
              </w:rPr>
              <w:t>唐山市丰南区图书馆</w:t>
            </w: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2572" w:type="dxa"/>
            <w:gridSpan w:val="2"/>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shd w:val="clear" w:color="auto" w:fill="auto"/>
          <w:tblCellMar>
            <w:top w:w="0" w:type="dxa"/>
            <w:left w:w="0" w:type="dxa"/>
            <w:bottom w:w="0" w:type="dxa"/>
            <w:right w:w="0" w:type="dxa"/>
          </w:tblCellMar>
        </w:tblPrEx>
        <w:trPr>
          <w:trHeight w:val="323" w:hRule="atLeast"/>
          <w:jc w:val="center"/>
        </w:trPr>
        <w:tc>
          <w:tcPr>
            <w:tcW w:w="24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本年支出合计</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基本支出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上缴上级支出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经营支出</w:t>
            </w:r>
          </w:p>
        </w:tc>
        <w:tc>
          <w:tcPr>
            <w:tcW w:w="141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对附属单位补助支出</w:t>
            </w:r>
          </w:p>
        </w:tc>
      </w:tr>
      <w:tr>
        <w:tblPrEx>
          <w:shd w:val="clear" w:color="auto" w:fill="auto"/>
          <w:tblCellMar>
            <w:top w:w="0" w:type="dxa"/>
            <w:left w:w="0" w:type="dxa"/>
            <w:bottom w:w="0" w:type="dxa"/>
            <w:right w:w="0" w:type="dxa"/>
          </w:tblCellMar>
        </w:tblPrEx>
        <w:trPr>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功能分类科目编码</w:t>
            </w:r>
          </w:p>
        </w:tc>
        <w:tc>
          <w:tcPr>
            <w:tcW w:w="135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科目名称</w:t>
            </w: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5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35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23" w:hRule="atLeast"/>
          <w:jc w:val="center"/>
        </w:trPr>
        <w:tc>
          <w:tcPr>
            <w:tcW w:w="246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栏次</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r>
      <w:tr>
        <w:tblPrEx>
          <w:shd w:val="clear" w:color="auto" w:fill="auto"/>
          <w:tblCellMar>
            <w:top w:w="0" w:type="dxa"/>
            <w:left w:w="0" w:type="dxa"/>
            <w:bottom w:w="0" w:type="dxa"/>
            <w:right w:w="0" w:type="dxa"/>
          </w:tblCellMar>
        </w:tblPrEx>
        <w:trPr>
          <w:trHeight w:val="323" w:hRule="atLeast"/>
          <w:jc w:val="center"/>
        </w:trPr>
        <w:tc>
          <w:tcPr>
            <w:tcW w:w="246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i w:val="0"/>
                <w:color w:val="000000"/>
                <w:sz w:val="22"/>
                <w:szCs w:val="22"/>
                <w:u w:val="none"/>
                <w:lang w:val="en-US" w:eastAsia="zh-CN"/>
              </w:rPr>
            </w:pPr>
            <w:r>
              <w:rPr>
                <w:rFonts w:hint="eastAsia" w:ascii="宋体" w:hAnsi="宋体" w:eastAsia="宋体" w:cs="宋体"/>
                <w:b/>
                <w:i w:val="0"/>
                <w:color w:val="000000"/>
                <w:sz w:val="22"/>
                <w:szCs w:val="22"/>
                <w:u w:val="none"/>
                <w:lang w:val="en-US" w:eastAsia="zh-CN"/>
              </w:rPr>
              <w:t>548.97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i w:val="0"/>
                <w:color w:val="000000"/>
                <w:sz w:val="22"/>
                <w:szCs w:val="22"/>
                <w:u w:val="none"/>
                <w:lang w:val="en-US" w:eastAsia="zh-CN"/>
              </w:rPr>
            </w:pPr>
            <w:r>
              <w:rPr>
                <w:rFonts w:hint="eastAsia" w:ascii="宋体" w:hAnsi="宋体" w:eastAsia="宋体" w:cs="宋体"/>
                <w:b/>
                <w:i w:val="0"/>
                <w:color w:val="000000"/>
                <w:sz w:val="22"/>
                <w:szCs w:val="22"/>
                <w:u w:val="none"/>
                <w:lang w:val="en-US" w:eastAsia="zh-CN"/>
              </w:rPr>
              <w:t>311.10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i w:val="0"/>
                <w:color w:val="000000"/>
                <w:sz w:val="22"/>
                <w:szCs w:val="22"/>
                <w:u w:val="none"/>
                <w:lang w:val="en-US" w:eastAsia="zh-CN"/>
              </w:rPr>
            </w:pPr>
            <w:r>
              <w:rPr>
                <w:rFonts w:hint="eastAsia" w:ascii="宋体" w:hAnsi="宋体" w:eastAsia="宋体" w:cs="宋体"/>
                <w:b/>
                <w:i w:val="0"/>
                <w:color w:val="000000"/>
                <w:sz w:val="22"/>
                <w:szCs w:val="22"/>
                <w:u w:val="none"/>
                <w:lang w:val="en-US" w:eastAsia="zh-CN"/>
              </w:rPr>
              <w:t>237.87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i w:val="0"/>
                <w:color w:val="000000"/>
                <w:sz w:val="22"/>
                <w:szCs w:val="22"/>
                <w:u w:val="none"/>
              </w:rPr>
            </w:pPr>
          </w:p>
        </w:tc>
      </w:tr>
      <w:tr>
        <w:tblPrEx>
          <w:shd w:val="clear" w:color="auto" w:fill="auto"/>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207</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文化旅游体育与传媒支出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548.97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311.10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237.87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20701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文化和旅游</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528.97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311.10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217.87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2070104</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图书馆</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528.97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311.10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217.87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20799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其他文化体育与传媒支出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2079999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其他文化体育与传媒支出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23"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注：本表反映部门本年度各项支出情况。</w:t>
            </w:r>
          </w:p>
        </w:tc>
      </w:tr>
    </w:tbl>
    <w:p>
      <w:pPr>
        <w:rPr>
          <w:rFonts w:hint="default"/>
          <w:lang w:val="en-US" w:eastAsia="zh-CN"/>
        </w:rPr>
      </w:pPr>
      <w:r>
        <w:rPr>
          <w:rFonts w:hint="default"/>
          <w:lang w:val="en-US" w:eastAsia="zh-CN"/>
        </w:rPr>
        <w:br w:type="page"/>
      </w:r>
    </w:p>
    <w:tbl>
      <w:tblPr>
        <w:tblStyle w:val="6"/>
        <w:tblW w:w="9665" w:type="dxa"/>
        <w:jc w:val="center"/>
        <w:shd w:val="clear" w:color="auto" w:fill="auto"/>
        <w:tblLayout w:type="fixed"/>
        <w:tblCellMar>
          <w:top w:w="0" w:type="dxa"/>
          <w:left w:w="0" w:type="dxa"/>
          <w:bottom w:w="0" w:type="dxa"/>
          <w:right w:w="0" w:type="dxa"/>
        </w:tblCellMar>
      </w:tblPr>
      <w:tblGrid>
        <w:gridCol w:w="2913"/>
        <w:gridCol w:w="465"/>
        <w:gridCol w:w="750"/>
        <w:gridCol w:w="2985"/>
        <w:gridCol w:w="330"/>
        <w:gridCol w:w="690"/>
        <w:gridCol w:w="743"/>
        <w:gridCol w:w="789"/>
      </w:tblGrid>
      <w:tr>
        <w:tblPrEx>
          <w:tblCellMar>
            <w:top w:w="0" w:type="dxa"/>
            <w:left w:w="0" w:type="dxa"/>
            <w:bottom w:w="0" w:type="dxa"/>
            <w:right w:w="0" w:type="dxa"/>
          </w:tblCellMar>
        </w:tblPrEx>
        <w:trPr>
          <w:trHeight w:val="406" w:hRule="atLeast"/>
          <w:jc w:val="center"/>
        </w:trPr>
        <w:tc>
          <w:tcPr>
            <w:tcW w:w="9665" w:type="dxa"/>
            <w:gridSpan w:val="8"/>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黑体" w:hAnsi="宋体" w:eastAsia="黑体" w:cs="黑体"/>
                <w:i w:val="0"/>
                <w:color w:val="000000"/>
                <w:sz w:val="32"/>
                <w:szCs w:val="32"/>
                <w:u w:val="none"/>
              </w:rPr>
            </w:pPr>
            <w:r>
              <w:rPr>
                <w:rFonts w:hint="eastAsia" w:ascii="黑体" w:hAnsi="宋体" w:eastAsia="黑体" w:cs="黑体"/>
                <w:i w:val="0"/>
                <w:color w:val="000000"/>
                <w:kern w:val="0"/>
                <w:sz w:val="32"/>
                <w:szCs w:val="32"/>
                <w:u w:val="none"/>
                <w:lang w:val="en-US" w:eastAsia="zh-CN" w:bidi="ar"/>
              </w:rPr>
              <w:t>财政拨款收入支出决算总表</w:t>
            </w:r>
          </w:p>
        </w:tc>
      </w:tr>
      <w:tr>
        <w:tblPrEx>
          <w:shd w:val="clear" w:color="auto" w:fill="auto"/>
          <w:tblCellMar>
            <w:top w:w="0" w:type="dxa"/>
            <w:left w:w="0" w:type="dxa"/>
            <w:bottom w:w="0" w:type="dxa"/>
            <w:right w:w="0" w:type="dxa"/>
          </w:tblCellMar>
        </w:tblPrEx>
        <w:trPr>
          <w:trHeight w:val="90" w:hRule="atLeast"/>
          <w:jc w:val="center"/>
        </w:trPr>
        <w:tc>
          <w:tcPr>
            <w:tcW w:w="2913" w:type="dxa"/>
            <w:tcBorders>
              <w:top w:val="nil"/>
              <w:left w:val="nil"/>
              <w:bottom w:val="nil"/>
              <w:right w:val="nil"/>
            </w:tcBorders>
            <w:shd w:val="clear" w:color="auto" w:fill="auto"/>
            <w:noWrap/>
            <w:tcMar>
              <w:top w:w="15" w:type="dxa"/>
              <w:left w:w="15" w:type="dxa"/>
              <w:right w:w="15" w:type="dxa"/>
            </w:tcMar>
            <w:vAlign w:val="bottom"/>
          </w:tcPr>
          <w:p>
            <w:pPr>
              <w:rPr>
                <w:rFonts w:hint="eastAsia" w:ascii="Arial" w:hAnsi="Arial" w:cs="Arial"/>
                <w:i w:val="0"/>
                <w:color w:val="000000"/>
                <w:sz w:val="20"/>
                <w:szCs w:val="20"/>
                <w:u w:val="none"/>
              </w:rPr>
            </w:pPr>
          </w:p>
        </w:tc>
        <w:tc>
          <w:tcPr>
            <w:tcW w:w="465"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750"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2985"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330"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2222" w:type="dxa"/>
            <w:gridSpan w:val="3"/>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公开04表</w:t>
            </w:r>
          </w:p>
        </w:tc>
      </w:tr>
      <w:tr>
        <w:tblPrEx>
          <w:shd w:val="clear" w:color="auto" w:fill="auto"/>
          <w:tblCellMar>
            <w:top w:w="0" w:type="dxa"/>
            <w:left w:w="0" w:type="dxa"/>
            <w:bottom w:w="0" w:type="dxa"/>
            <w:right w:w="0" w:type="dxa"/>
          </w:tblCellMar>
        </w:tblPrEx>
        <w:trPr>
          <w:trHeight w:val="90" w:hRule="atLeast"/>
          <w:jc w:val="center"/>
        </w:trPr>
        <w:tc>
          <w:tcPr>
            <w:tcW w:w="2913"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部门：唐山市丰南区图书馆</w:t>
            </w:r>
          </w:p>
        </w:tc>
        <w:tc>
          <w:tcPr>
            <w:tcW w:w="465"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750"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2985"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330"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2222" w:type="dxa"/>
            <w:gridSpan w:val="3"/>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tblCellMar>
            <w:top w:w="0" w:type="dxa"/>
            <w:left w:w="0" w:type="dxa"/>
            <w:bottom w:w="0" w:type="dxa"/>
            <w:right w:w="0" w:type="dxa"/>
          </w:tblCellMar>
        </w:tblPrEx>
        <w:trPr>
          <w:trHeight w:val="90" w:hRule="atLeast"/>
          <w:jc w:val="center"/>
        </w:trPr>
        <w:tc>
          <w:tcPr>
            <w:tcW w:w="412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收     入</w:t>
            </w:r>
          </w:p>
        </w:tc>
        <w:tc>
          <w:tcPr>
            <w:tcW w:w="5537"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支     出</w:t>
            </w:r>
          </w:p>
        </w:tc>
      </w:tr>
      <w:tr>
        <w:tblPrEx>
          <w:shd w:val="clear" w:color="auto" w:fill="auto"/>
        </w:tblPrEx>
        <w:trPr>
          <w:trHeight w:val="312" w:hRule="atLeast"/>
          <w:jc w:val="center"/>
        </w:trPr>
        <w:tc>
          <w:tcPr>
            <w:tcW w:w="2913"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w:t>
            </w:r>
          </w:p>
        </w:tc>
        <w:tc>
          <w:tcPr>
            <w:tcW w:w="46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行次</w:t>
            </w:r>
          </w:p>
        </w:tc>
        <w:tc>
          <w:tcPr>
            <w:tcW w:w="7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金额</w:t>
            </w:r>
          </w:p>
        </w:tc>
        <w:tc>
          <w:tcPr>
            <w:tcW w:w="298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w:t>
            </w:r>
          </w:p>
        </w:tc>
        <w:tc>
          <w:tcPr>
            <w:tcW w:w="33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行次</w:t>
            </w:r>
          </w:p>
        </w:tc>
        <w:tc>
          <w:tcPr>
            <w:tcW w:w="690"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74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一般公共预算财政拨款</w:t>
            </w:r>
          </w:p>
        </w:tc>
        <w:tc>
          <w:tcPr>
            <w:tcW w:w="78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政府性基金预算财政拨款</w:t>
            </w:r>
          </w:p>
        </w:tc>
      </w:tr>
      <w:tr>
        <w:tblPrEx>
          <w:shd w:val="clear" w:color="auto" w:fill="auto"/>
          <w:tblCellMar>
            <w:top w:w="0" w:type="dxa"/>
            <w:left w:w="0" w:type="dxa"/>
            <w:bottom w:w="0" w:type="dxa"/>
            <w:right w:w="0" w:type="dxa"/>
          </w:tblCellMar>
        </w:tblPrEx>
        <w:trPr>
          <w:trHeight w:val="312" w:hRule="atLeast"/>
          <w:jc w:val="center"/>
        </w:trPr>
        <w:tc>
          <w:tcPr>
            <w:tcW w:w="2913"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6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7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98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33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90"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74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78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90" w:hRule="atLeast"/>
          <w:jc w:val="center"/>
        </w:trPr>
        <w:tc>
          <w:tcPr>
            <w:tcW w:w="29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栏次</w:t>
            </w:r>
          </w:p>
        </w:tc>
        <w:tc>
          <w:tcPr>
            <w:tcW w:w="4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7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29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栏次</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90" w:hRule="atLeast"/>
          <w:jc w:val="center"/>
        </w:trPr>
        <w:tc>
          <w:tcPr>
            <w:tcW w:w="29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一、一般公共预算财政拨款</w:t>
            </w:r>
          </w:p>
        </w:tc>
        <w:tc>
          <w:tcPr>
            <w:tcW w:w="4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7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525.24</w:t>
            </w:r>
          </w:p>
        </w:tc>
        <w:tc>
          <w:tcPr>
            <w:tcW w:w="29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一、一般公共服务支出</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90" w:hRule="atLeast"/>
          <w:jc w:val="center"/>
        </w:trPr>
        <w:tc>
          <w:tcPr>
            <w:tcW w:w="29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二、政府性基金预算财政拨款</w:t>
            </w:r>
          </w:p>
        </w:tc>
        <w:tc>
          <w:tcPr>
            <w:tcW w:w="4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7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29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二、外交支出</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90" w:hRule="atLeast"/>
          <w:jc w:val="center"/>
        </w:trPr>
        <w:tc>
          <w:tcPr>
            <w:tcW w:w="29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4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7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29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三、国防支出</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90" w:hRule="atLeast"/>
          <w:jc w:val="center"/>
        </w:trPr>
        <w:tc>
          <w:tcPr>
            <w:tcW w:w="29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4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7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29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四、公共安全支出</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90" w:hRule="atLeast"/>
          <w:jc w:val="center"/>
        </w:trPr>
        <w:tc>
          <w:tcPr>
            <w:tcW w:w="29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4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7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29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五、教育支出</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90" w:hRule="atLeast"/>
          <w:jc w:val="center"/>
        </w:trPr>
        <w:tc>
          <w:tcPr>
            <w:tcW w:w="29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4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7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29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六、科学技术支出</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90" w:hRule="atLeast"/>
          <w:jc w:val="center"/>
        </w:trPr>
        <w:tc>
          <w:tcPr>
            <w:tcW w:w="29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4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7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29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七、文化旅游体育与传媒支出</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544.47</w:t>
            </w:r>
          </w:p>
        </w:tc>
        <w:tc>
          <w:tcPr>
            <w:tcW w:w="7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544.47</w:t>
            </w: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90" w:hRule="atLeast"/>
          <w:jc w:val="center"/>
        </w:trPr>
        <w:tc>
          <w:tcPr>
            <w:tcW w:w="29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4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7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29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八、社会保障和就业支出</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90" w:hRule="atLeast"/>
          <w:jc w:val="center"/>
        </w:trPr>
        <w:tc>
          <w:tcPr>
            <w:tcW w:w="29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4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7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29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九、卫生健康支出</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90" w:hRule="atLeast"/>
          <w:jc w:val="center"/>
        </w:trPr>
        <w:tc>
          <w:tcPr>
            <w:tcW w:w="29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4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7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29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十、节能环保支出</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90" w:hRule="atLeast"/>
          <w:jc w:val="center"/>
        </w:trPr>
        <w:tc>
          <w:tcPr>
            <w:tcW w:w="29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4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7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29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十一、城乡社区支出</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90" w:hRule="atLeast"/>
          <w:jc w:val="center"/>
        </w:trPr>
        <w:tc>
          <w:tcPr>
            <w:tcW w:w="29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4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7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29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十二、农林水支出</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90" w:hRule="atLeast"/>
          <w:jc w:val="center"/>
        </w:trPr>
        <w:tc>
          <w:tcPr>
            <w:tcW w:w="29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4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w:t>
            </w:r>
          </w:p>
        </w:tc>
        <w:tc>
          <w:tcPr>
            <w:tcW w:w="7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29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十三、交通运输支出</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42</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90" w:hRule="atLeast"/>
          <w:jc w:val="center"/>
        </w:trPr>
        <w:tc>
          <w:tcPr>
            <w:tcW w:w="29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4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w:t>
            </w:r>
          </w:p>
        </w:tc>
        <w:tc>
          <w:tcPr>
            <w:tcW w:w="7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29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十四、资源勘探信息等支出</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90" w:hRule="atLeast"/>
          <w:jc w:val="center"/>
        </w:trPr>
        <w:tc>
          <w:tcPr>
            <w:tcW w:w="29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4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7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29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十五、商业服务业等支出</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90" w:hRule="atLeast"/>
          <w:jc w:val="center"/>
        </w:trPr>
        <w:tc>
          <w:tcPr>
            <w:tcW w:w="29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4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7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29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十六、金融支出</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90" w:hRule="atLeast"/>
          <w:jc w:val="center"/>
        </w:trPr>
        <w:tc>
          <w:tcPr>
            <w:tcW w:w="29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4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w:t>
            </w:r>
          </w:p>
        </w:tc>
        <w:tc>
          <w:tcPr>
            <w:tcW w:w="7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29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十七、援助其他地区支出</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90" w:hRule="atLeast"/>
          <w:jc w:val="center"/>
        </w:trPr>
        <w:tc>
          <w:tcPr>
            <w:tcW w:w="29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4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w:t>
            </w:r>
          </w:p>
        </w:tc>
        <w:tc>
          <w:tcPr>
            <w:tcW w:w="7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1"/>
                <w:szCs w:val="21"/>
                <w:u w:val="none"/>
              </w:rPr>
            </w:pPr>
          </w:p>
        </w:tc>
        <w:tc>
          <w:tcPr>
            <w:tcW w:w="29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十八、自然资源海洋气象等支出</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90" w:hRule="atLeast"/>
          <w:jc w:val="center"/>
        </w:trPr>
        <w:tc>
          <w:tcPr>
            <w:tcW w:w="29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4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7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29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十九、住房保障支出</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rPr>
          <w:trHeight w:val="90" w:hRule="atLeast"/>
          <w:jc w:val="center"/>
        </w:trPr>
        <w:tc>
          <w:tcPr>
            <w:tcW w:w="29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4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7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29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二十、粮油物资储备支出</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49</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90" w:hRule="atLeast"/>
          <w:jc w:val="center"/>
        </w:trPr>
        <w:tc>
          <w:tcPr>
            <w:tcW w:w="29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4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w:t>
            </w:r>
          </w:p>
        </w:tc>
        <w:tc>
          <w:tcPr>
            <w:tcW w:w="7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29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0"/>
                <w:szCs w:val="20"/>
                <w:u w:val="none"/>
                <w:lang w:val="en-US" w:eastAsia="zh-CN" w:bidi="ar"/>
              </w:rPr>
              <w:t>二十一、灾害防治及应急管理支出</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90" w:hRule="atLeast"/>
          <w:jc w:val="center"/>
        </w:trPr>
        <w:tc>
          <w:tcPr>
            <w:tcW w:w="29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4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w:t>
            </w:r>
          </w:p>
        </w:tc>
        <w:tc>
          <w:tcPr>
            <w:tcW w:w="7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29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二十二、其他支出</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51</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90" w:hRule="atLeast"/>
          <w:jc w:val="center"/>
        </w:trPr>
        <w:tc>
          <w:tcPr>
            <w:tcW w:w="29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4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w:t>
            </w:r>
          </w:p>
        </w:tc>
        <w:tc>
          <w:tcPr>
            <w:tcW w:w="7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29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二十四、债务付息支出</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90" w:hRule="atLeast"/>
          <w:jc w:val="center"/>
        </w:trPr>
        <w:tc>
          <w:tcPr>
            <w:tcW w:w="29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本年收入合计</w:t>
            </w:r>
          </w:p>
        </w:tc>
        <w:tc>
          <w:tcPr>
            <w:tcW w:w="4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7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525.24</w:t>
            </w:r>
          </w:p>
        </w:tc>
        <w:tc>
          <w:tcPr>
            <w:tcW w:w="29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本年支出合计</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544.47</w:t>
            </w:r>
          </w:p>
        </w:tc>
        <w:tc>
          <w:tcPr>
            <w:tcW w:w="7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544.47</w:t>
            </w: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90" w:hRule="atLeast"/>
          <w:jc w:val="center"/>
        </w:trPr>
        <w:tc>
          <w:tcPr>
            <w:tcW w:w="29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年初财政拨款结转和结余</w:t>
            </w:r>
          </w:p>
        </w:tc>
        <w:tc>
          <w:tcPr>
            <w:tcW w:w="4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7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19.24</w:t>
            </w:r>
          </w:p>
        </w:tc>
        <w:tc>
          <w:tcPr>
            <w:tcW w:w="29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年末财政拨款结转和结余</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0.003</w:t>
            </w:r>
          </w:p>
        </w:tc>
        <w:tc>
          <w:tcPr>
            <w:tcW w:w="7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0.003</w:t>
            </w: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90" w:hRule="atLeast"/>
          <w:jc w:val="center"/>
        </w:trPr>
        <w:tc>
          <w:tcPr>
            <w:tcW w:w="29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一、一般公共预算财政拨款</w:t>
            </w:r>
          </w:p>
        </w:tc>
        <w:tc>
          <w:tcPr>
            <w:tcW w:w="4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w:t>
            </w:r>
          </w:p>
        </w:tc>
        <w:tc>
          <w:tcPr>
            <w:tcW w:w="7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19.24</w:t>
            </w:r>
          </w:p>
        </w:tc>
        <w:tc>
          <w:tcPr>
            <w:tcW w:w="29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90" w:hRule="atLeast"/>
          <w:jc w:val="center"/>
        </w:trPr>
        <w:tc>
          <w:tcPr>
            <w:tcW w:w="29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二、政府性基金预算财政拨款</w:t>
            </w:r>
          </w:p>
        </w:tc>
        <w:tc>
          <w:tcPr>
            <w:tcW w:w="4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w:t>
            </w:r>
          </w:p>
        </w:tc>
        <w:tc>
          <w:tcPr>
            <w:tcW w:w="7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29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PrEx>
        <w:trPr>
          <w:trHeight w:val="90" w:hRule="atLeast"/>
          <w:jc w:val="center"/>
        </w:trPr>
        <w:tc>
          <w:tcPr>
            <w:tcW w:w="29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4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7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29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PrEx>
        <w:trPr>
          <w:trHeight w:val="90" w:hRule="atLeast"/>
          <w:jc w:val="center"/>
        </w:trPr>
        <w:tc>
          <w:tcPr>
            <w:tcW w:w="29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总计</w:t>
            </w:r>
          </w:p>
        </w:tc>
        <w:tc>
          <w:tcPr>
            <w:tcW w:w="4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w:t>
            </w:r>
          </w:p>
        </w:tc>
        <w:tc>
          <w:tcPr>
            <w:tcW w:w="7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544.48</w:t>
            </w:r>
          </w:p>
        </w:tc>
        <w:tc>
          <w:tcPr>
            <w:tcW w:w="29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总计</w:t>
            </w:r>
          </w:p>
        </w:tc>
        <w:tc>
          <w:tcPr>
            <w:tcW w:w="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544.48</w:t>
            </w:r>
          </w:p>
        </w:tc>
        <w:tc>
          <w:tcPr>
            <w:tcW w:w="7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244.48</w:t>
            </w:r>
          </w:p>
        </w:tc>
        <w:tc>
          <w:tcPr>
            <w:tcW w:w="7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90" w:hRule="atLeast"/>
          <w:jc w:val="center"/>
        </w:trPr>
        <w:tc>
          <w:tcPr>
            <w:tcW w:w="9665" w:type="dxa"/>
            <w:gridSpan w:val="8"/>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注：本表反映部门本年度一般公共预算财政拨款和政府性基金预算财政拨款的总收支和年末结转结余情况。</w:t>
            </w:r>
          </w:p>
        </w:tc>
      </w:tr>
    </w:tbl>
    <w:p>
      <w:pPr>
        <w:rPr>
          <w:rFonts w:hint="default"/>
          <w:lang w:val="en-US" w:eastAsia="zh-CN"/>
        </w:rPr>
      </w:pPr>
      <w:r>
        <w:rPr>
          <w:rFonts w:hint="default"/>
          <w:lang w:val="en-US" w:eastAsia="zh-CN"/>
        </w:rPr>
        <w:br w:type="page"/>
      </w:r>
    </w:p>
    <w:tbl>
      <w:tblPr>
        <w:tblStyle w:val="6"/>
        <w:tblW w:w="9990" w:type="dxa"/>
        <w:jc w:val="center"/>
        <w:shd w:val="clear" w:color="auto" w:fill="auto"/>
        <w:tblLayout w:type="autofit"/>
        <w:tblCellMar>
          <w:top w:w="0" w:type="dxa"/>
          <w:left w:w="0" w:type="dxa"/>
          <w:bottom w:w="0" w:type="dxa"/>
          <w:right w:w="0" w:type="dxa"/>
        </w:tblCellMar>
      </w:tblPr>
      <w:tblGrid>
        <w:gridCol w:w="831"/>
        <w:gridCol w:w="48"/>
        <w:gridCol w:w="48"/>
        <w:gridCol w:w="3233"/>
        <w:gridCol w:w="1944"/>
        <w:gridCol w:w="1944"/>
        <w:gridCol w:w="1942"/>
      </w:tblGrid>
      <w:tr>
        <w:tblPrEx>
          <w:shd w:val="clear" w:color="auto" w:fill="auto"/>
          <w:tblCellMar>
            <w:top w:w="0" w:type="dxa"/>
            <w:left w:w="0" w:type="dxa"/>
            <w:bottom w:w="0" w:type="dxa"/>
            <w:right w:w="0" w:type="dxa"/>
          </w:tblCellMar>
        </w:tblPrEx>
        <w:trPr>
          <w:trHeight w:val="600" w:hRule="atLeast"/>
          <w:jc w:val="center"/>
        </w:trPr>
        <w:tc>
          <w:tcPr>
            <w:tcW w:w="9990" w:type="dxa"/>
            <w:gridSpan w:val="7"/>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黑体" w:hAnsi="宋体" w:eastAsia="黑体" w:cs="黑体"/>
                <w:i w:val="0"/>
                <w:color w:val="000000"/>
                <w:sz w:val="32"/>
                <w:szCs w:val="32"/>
                <w:u w:val="none"/>
              </w:rPr>
            </w:pPr>
            <w:r>
              <w:rPr>
                <w:rFonts w:hint="eastAsia" w:ascii="黑体" w:hAnsi="宋体" w:eastAsia="黑体" w:cs="黑体"/>
                <w:i w:val="0"/>
                <w:color w:val="000000"/>
                <w:kern w:val="0"/>
                <w:sz w:val="32"/>
                <w:szCs w:val="32"/>
                <w:u w:val="none"/>
                <w:lang w:val="en-US" w:eastAsia="zh-CN" w:bidi="ar"/>
              </w:rPr>
              <w:t>一般公共预算财政拨款支出决算表</w:t>
            </w:r>
          </w:p>
        </w:tc>
      </w:tr>
      <w:tr>
        <w:tblPrEx>
          <w:shd w:val="clear" w:color="auto" w:fill="auto"/>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hint="eastAsia"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公开05表</w:t>
            </w:r>
          </w:p>
        </w:tc>
      </w:tr>
      <w:tr>
        <w:tblPrEx>
          <w:shd w:val="clear" w:color="auto" w:fill="auto"/>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eastAsiaTheme="minorEastAsia"/>
                <w:i w:val="0"/>
                <w:color w:val="000000"/>
                <w:sz w:val="20"/>
                <w:szCs w:val="20"/>
                <w:u w:val="none"/>
                <w:lang w:val="en-US" w:eastAsia="zh-CN"/>
              </w:rPr>
            </w:pPr>
            <w:r>
              <w:rPr>
                <w:rFonts w:hint="eastAsia" w:ascii="Arial" w:hAnsi="Arial" w:cs="Arial"/>
                <w:i w:val="0"/>
                <w:color w:val="000000"/>
                <w:sz w:val="20"/>
                <w:szCs w:val="20"/>
                <w:u w:val="none"/>
                <w:lang w:val="en-US" w:eastAsia="zh-CN"/>
              </w:rPr>
              <w:t>唐山市丰南区图书馆</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shd w:val="clear" w:color="auto" w:fill="auto"/>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w:t>
            </w:r>
          </w:p>
        </w:tc>
        <w:tc>
          <w:tcPr>
            <w:tcW w:w="675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本年支出</w:t>
            </w:r>
          </w:p>
        </w:tc>
      </w:tr>
      <w:tr>
        <w:tblPrEx>
          <w:shd w:val="clear" w:color="auto" w:fill="auto"/>
          <w:tblCellMar>
            <w:top w:w="0" w:type="dxa"/>
            <w:left w:w="0" w:type="dxa"/>
            <w:bottom w:w="0" w:type="dxa"/>
            <w:right w:w="0" w:type="dxa"/>
          </w:tblCellMar>
        </w:tblPrEx>
        <w:trPr>
          <w:trHeight w:val="308" w:hRule="atLeast"/>
          <w:jc w:val="center"/>
        </w:trPr>
        <w:tc>
          <w:tcPr>
            <w:tcW w:w="990"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科目名称</w:t>
            </w:r>
          </w:p>
        </w:tc>
        <w:tc>
          <w:tcPr>
            <w:tcW w:w="22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小计</w:t>
            </w:r>
          </w:p>
        </w:tc>
        <w:tc>
          <w:tcPr>
            <w:tcW w:w="22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基本支出</w:t>
            </w:r>
          </w:p>
        </w:tc>
        <w:tc>
          <w:tcPr>
            <w:tcW w:w="22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项目支出</w:t>
            </w:r>
          </w:p>
        </w:tc>
      </w:tr>
      <w:tr>
        <w:tblPrEx>
          <w:shd w:val="clear" w:color="auto" w:fill="auto"/>
          <w:tblCellMar>
            <w:top w:w="0" w:type="dxa"/>
            <w:left w:w="0" w:type="dxa"/>
            <w:bottom w:w="0" w:type="dxa"/>
            <w:right w:w="0" w:type="dxa"/>
          </w:tblCellMar>
        </w:tblPrEx>
        <w:trPr>
          <w:trHeight w:val="277" w:hRule="atLeast"/>
          <w:jc w:val="center"/>
        </w:trPr>
        <w:tc>
          <w:tcPr>
            <w:tcW w:w="990"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2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2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2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8" w:hRule="atLeast"/>
          <w:jc w:val="center"/>
        </w:trPr>
        <w:tc>
          <w:tcPr>
            <w:tcW w:w="990"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2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2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2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i w:val="0"/>
                <w:color w:val="000000"/>
                <w:sz w:val="22"/>
                <w:szCs w:val="22"/>
                <w:u w:val="none"/>
                <w:lang w:val="en-US" w:eastAsia="zh-CN"/>
              </w:rPr>
            </w:pPr>
            <w:r>
              <w:rPr>
                <w:rFonts w:hint="eastAsia" w:ascii="宋体" w:hAnsi="宋体" w:eastAsia="宋体" w:cs="宋体"/>
                <w:b/>
                <w:i w:val="0"/>
                <w:color w:val="000000"/>
                <w:sz w:val="22"/>
                <w:szCs w:val="22"/>
                <w:u w:val="none"/>
                <w:lang w:val="en-US" w:eastAsia="zh-CN"/>
              </w:rPr>
              <w:t>544.47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i w:val="0"/>
                <w:color w:val="000000"/>
                <w:sz w:val="22"/>
                <w:szCs w:val="22"/>
                <w:u w:val="none"/>
                <w:lang w:val="en-US" w:eastAsia="zh-CN"/>
              </w:rPr>
            </w:pPr>
            <w:r>
              <w:rPr>
                <w:rFonts w:hint="eastAsia" w:ascii="宋体" w:hAnsi="宋体" w:eastAsia="宋体" w:cs="宋体"/>
                <w:b/>
                <w:i w:val="0"/>
                <w:color w:val="000000"/>
                <w:sz w:val="22"/>
                <w:szCs w:val="22"/>
                <w:u w:val="none"/>
                <w:lang w:val="en-US" w:eastAsia="zh-CN"/>
              </w:rPr>
              <w:t>311.10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b/>
                <w:i w:val="0"/>
                <w:color w:val="000000"/>
                <w:sz w:val="22"/>
                <w:szCs w:val="22"/>
                <w:u w:val="none"/>
                <w:lang w:val="en-US" w:eastAsia="zh-CN"/>
              </w:rPr>
            </w:pPr>
            <w:r>
              <w:rPr>
                <w:rFonts w:hint="eastAsia" w:ascii="宋体" w:hAnsi="宋体" w:eastAsia="宋体" w:cs="宋体"/>
                <w:b/>
                <w:i w:val="0"/>
                <w:color w:val="000000"/>
                <w:sz w:val="22"/>
                <w:szCs w:val="22"/>
                <w:u w:val="none"/>
                <w:lang w:val="en-US" w:eastAsia="zh-CN"/>
              </w:rPr>
              <w:t>233.37</w:t>
            </w:r>
          </w:p>
        </w:tc>
      </w:tr>
      <w:tr>
        <w:tblPrEx>
          <w:shd w:val="clear" w:color="auto" w:fill="auto"/>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文化旅游体育与传媒支出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544.47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311.10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233.37</w:t>
            </w:r>
          </w:p>
        </w:tc>
      </w:tr>
      <w:tr>
        <w:tblPrEx>
          <w:shd w:val="clear" w:color="auto" w:fill="auto"/>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20701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文化和旅游</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524.47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311.10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213.37</w:t>
            </w:r>
          </w:p>
        </w:tc>
      </w:tr>
      <w:tr>
        <w:tblPrEx>
          <w:shd w:val="clear" w:color="auto" w:fill="auto"/>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2070104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图书馆</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524.47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311.10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213.37</w:t>
            </w:r>
          </w:p>
        </w:tc>
      </w:tr>
      <w:tr>
        <w:tblPrEx>
          <w:shd w:val="clear" w:color="auto" w:fill="auto"/>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20799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其他文化体育与传媒支出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w:t>
            </w:r>
          </w:p>
        </w:tc>
      </w:tr>
      <w:tr>
        <w:tblPrEx>
          <w:shd w:val="clear" w:color="auto" w:fill="auto"/>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2079999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lang w:val="en-US" w:eastAsia="zh-CN"/>
              </w:rPr>
              <w:t>其他文化体育与传媒支出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20</w:t>
            </w:r>
          </w:p>
        </w:tc>
      </w:tr>
      <w:tr>
        <w:tblPrEx>
          <w:shd w:val="clear" w:color="auto" w:fill="auto"/>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bl>
    <w:p>
      <w:pPr>
        <w:rPr>
          <w:rFonts w:hint="default"/>
          <w:lang w:val="en-US" w:eastAsia="zh-CN"/>
        </w:rPr>
      </w:pPr>
      <w:r>
        <w:rPr>
          <w:rFonts w:hint="default"/>
          <w:lang w:val="en-US" w:eastAsia="zh-CN"/>
        </w:rPr>
        <w:br w:type="page"/>
      </w:r>
    </w:p>
    <w:tbl>
      <w:tblPr>
        <w:tblStyle w:val="6"/>
        <w:tblW w:w="10000" w:type="dxa"/>
        <w:jc w:val="center"/>
        <w:shd w:val="clear" w:color="auto" w:fill="auto"/>
        <w:tblLayout w:type="fixed"/>
        <w:tblCellMar>
          <w:top w:w="0" w:type="dxa"/>
          <w:left w:w="0" w:type="dxa"/>
          <w:bottom w:w="0" w:type="dxa"/>
          <w:right w:w="0" w:type="dxa"/>
        </w:tblCellMar>
      </w:tblPr>
      <w:tblGrid>
        <w:gridCol w:w="896"/>
        <w:gridCol w:w="1932"/>
        <w:gridCol w:w="783"/>
        <w:gridCol w:w="655"/>
        <w:gridCol w:w="1599"/>
        <w:gridCol w:w="768"/>
        <w:gridCol w:w="744"/>
        <w:gridCol w:w="1891"/>
        <w:gridCol w:w="732"/>
      </w:tblGrid>
      <w:tr>
        <w:tblPrEx>
          <w:shd w:val="clear" w:color="auto" w:fill="auto"/>
          <w:tblCellMar>
            <w:top w:w="0" w:type="dxa"/>
            <w:left w:w="0" w:type="dxa"/>
            <w:bottom w:w="0" w:type="dxa"/>
            <w:right w:w="0" w:type="dxa"/>
          </w:tblCellMar>
        </w:tblPrEx>
        <w:trPr>
          <w:trHeight w:val="662" w:hRule="atLeast"/>
          <w:jc w:val="center"/>
        </w:trPr>
        <w:tc>
          <w:tcPr>
            <w:tcW w:w="10000" w:type="dxa"/>
            <w:gridSpan w:val="9"/>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黑体" w:hAnsi="宋体" w:eastAsia="黑体" w:cs="黑体"/>
                <w:i w:val="0"/>
                <w:color w:val="000000"/>
                <w:sz w:val="32"/>
                <w:szCs w:val="32"/>
                <w:u w:val="none"/>
              </w:rPr>
            </w:pPr>
            <w:r>
              <w:rPr>
                <w:rFonts w:hint="eastAsia" w:ascii="黑体" w:hAnsi="宋体" w:eastAsia="黑体" w:cs="黑体"/>
                <w:i w:val="0"/>
                <w:color w:val="000000"/>
                <w:kern w:val="0"/>
                <w:sz w:val="32"/>
                <w:szCs w:val="32"/>
                <w:u w:val="none"/>
                <w:lang w:val="en-US" w:eastAsia="zh-CN" w:bidi="ar"/>
              </w:rPr>
              <w:t>一般公共预算财政拨款基本支出决算表</w:t>
            </w:r>
          </w:p>
        </w:tc>
      </w:tr>
      <w:tr>
        <w:tblPrEx>
          <w:tblCellMar>
            <w:top w:w="0" w:type="dxa"/>
            <w:left w:w="0" w:type="dxa"/>
            <w:bottom w:w="0" w:type="dxa"/>
            <w:right w:w="0" w:type="dxa"/>
          </w:tblCellMar>
        </w:tblPrEx>
        <w:trPr>
          <w:trHeight w:val="339" w:hRule="atLeast"/>
          <w:jc w:val="center"/>
        </w:trPr>
        <w:tc>
          <w:tcPr>
            <w:tcW w:w="896" w:type="dxa"/>
            <w:tcBorders>
              <w:top w:val="nil"/>
              <w:left w:val="nil"/>
              <w:bottom w:val="nil"/>
              <w:right w:val="nil"/>
            </w:tcBorders>
            <w:shd w:val="clear" w:color="auto" w:fill="auto"/>
            <w:noWrap/>
            <w:tcMar>
              <w:top w:w="15" w:type="dxa"/>
              <w:left w:w="15" w:type="dxa"/>
              <w:right w:w="15" w:type="dxa"/>
            </w:tcMar>
            <w:vAlign w:val="bottom"/>
          </w:tcPr>
          <w:p>
            <w:pPr>
              <w:rPr>
                <w:rFonts w:hint="eastAsia" w:ascii="Arial" w:hAnsi="Arial" w:cs="Arial"/>
                <w:i w:val="0"/>
                <w:color w:val="000000"/>
                <w:sz w:val="20"/>
                <w:szCs w:val="20"/>
                <w:u w:val="none"/>
              </w:rPr>
            </w:pPr>
          </w:p>
        </w:tc>
        <w:tc>
          <w:tcPr>
            <w:tcW w:w="1932" w:type="dxa"/>
            <w:tcBorders>
              <w:top w:val="nil"/>
              <w:left w:val="nil"/>
              <w:bottom w:val="nil"/>
              <w:right w:val="nil"/>
            </w:tcBorders>
            <w:shd w:val="clear" w:color="auto" w:fill="auto"/>
            <w:tcMar>
              <w:top w:w="15" w:type="dxa"/>
              <w:left w:w="15" w:type="dxa"/>
              <w:right w:w="15" w:type="dxa"/>
            </w:tcMar>
            <w:vAlign w:val="bottom"/>
          </w:tcPr>
          <w:p>
            <w:pPr>
              <w:rPr>
                <w:rFonts w:hint="default" w:ascii="Arial" w:hAnsi="Arial" w:cs="Arial"/>
                <w:i w:val="0"/>
                <w:color w:val="000000"/>
                <w:sz w:val="20"/>
                <w:szCs w:val="20"/>
                <w:u w:val="none"/>
              </w:rPr>
            </w:pPr>
          </w:p>
        </w:tc>
        <w:tc>
          <w:tcPr>
            <w:tcW w:w="783"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655"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1599" w:type="dxa"/>
            <w:tcBorders>
              <w:top w:val="nil"/>
              <w:left w:val="nil"/>
              <w:bottom w:val="nil"/>
              <w:right w:val="nil"/>
            </w:tcBorders>
            <w:shd w:val="clear" w:color="auto" w:fill="auto"/>
            <w:tcMar>
              <w:top w:w="15" w:type="dxa"/>
              <w:left w:w="15" w:type="dxa"/>
              <w:right w:w="15" w:type="dxa"/>
            </w:tcMar>
            <w:vAlign w:val="bottom"/>
          </w:tcPr>
          <w:p>
            <w:pPr>
              <w:rPr>
                <w:rFonts w:hint="default" w:ascii="Arial" w:hAnsi="Arial" w:cs="Arial"/>
                <w:i w:val="0"/>
                <w:color w:val="000000"/>
                <w:sz w:val="20"/>
                <w:szCs w:val="20"/>
                <w:u w:val="none"/>
              </w:rPr>
            </w:pPr>
          </w:p>
        </w:tc>
        <w:tc>
          <w:tcPr>
            <w:tcW w:w="768"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744"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2623" w:type="dxa"/>
            <w:gridSpan w:val="2"/>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公开06表</w:t>
            </w:r>
          </w:p>
        </w:tc>
      </w:tr>
      <w:tr>
        <w:tblPrEx>
          <w:shd w:val="clear" w:color="auto" w:fill="auto"/>
          <w:tblCellMar>
            <w:top w:w="0" w:type="dxa"/>
            <w:left w:w="0" w:type="dxa"/>
            <w:bottom w:w="0" w:type="dxa"/>
            <w:right w:w="0" w:type="dxa"/>
          </w:tblCellMar>
        </w:tblPrEx>
        <w:trPr>
          <w:trHeight w:val="339" w:hRule="atLeast"/>
          <w:jc w:val="center"/>
        </w:trPr>
        <w:tc>
          <w:tcPr>
            <w:tcW w:w="896"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w:t>
            </w:r>
          </w:p>
        </w:tc>
        <w:tc>
          <w:tcPr>
            <w:tcW w:w="1932" w:type="dxa"/>
            <w:tcBorders>
              <w:top w:val="nil"/>
              <w:left w:val="nil"/>
              <w:bottom w:val="nil"/>
              <w:right w:val="nil"/>
            </w:tcBorders>
            <w:shd w:val="clear" w:color="auto" w:fill="auto"/>
            <w:tcMar>
              <w:top w:w="15" w:type="dxa"/>
              <w:left w:w="15" w:type="dxa"/>
              <w:right w:w="15" w:type="dxa"/>
            </w:tcMar>
            <w:vAlign w:val="bottom"/>
          </w:tcPr>
          <w:p>
            <w:pPr>
              <w:rPr>
                <w:rFonts w:hint="default" w:ascii="Arial" w:hAnsi="Arial" w:cs="Arial" w:eastAsiaTheme="minorEastAsia"/>
                <w:i w:val="0"/>
                <w:color w:val="000000"/>
                <w:sz w:val="20"/>
                <w:szCs w:val="20"/>
                <w:u w:val="none"/>
                <w:lang w:val="en-US" w:eastAsia="zh-CN"/>
              </w:rPr>
            </w:pPr>
            <w:r>
              <w:rPr>
                <w:rFonts w:hint="eastAsia" w:ascii="Arial" w:hAnsi="Arial" w:cs="Arial"/>
                <w:i w:val="0"/>
                <w:color w:val="000000"/>
                <w:sz w:val="20"/>
                <w:szCs w:val="20"/>
                <w:u w:val="none"/>
                <w:lang w:val="en-US" w:eastAsia="zh-CN"/>
              </w:rPr>
              <w:t>唐山市丰南区图书馆</w:t>
            </w:r>
          </w:p>
        </w:tc>
        <w:tc>
          <w:tcPr>
            <w:tcW w:w="783"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655"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1599" w:type="dxa"/>
            <w:tcBorders>
              <w:top w:val="nil"/>
              <w:left w:val="nil"/>
              <w:bottom w:val="nil"/>
              <w:right w:val="nil"/>
            </w:tcBorders>
            <w:shd w:val="clear" w:color="auto" w:fill="auto"/>
            <w:tcMar>
              <w:top w:w="15" w:type="dxa"/>
              <w:left w:w="15" w:type="dxa"/>
              <w:right w:w="15" w:type="dxa"/>
            </w:tcMar>
            <w:vAlign w:val="bottom"/>
          </w:tcPr>
          <w:p>
            <w:pPr>
              <w:rPr>
                <w:rFonts w:hint="default" w:ascii="Arial" w:hAnsi="Arial" w:cs="Arial"/>
                <w:i w:val="0"/>
                <w:color w:val="000000"/>
                <w:sz w:val="20"/>
                <w:szCs w:val="20"/>
                <w:u w:val="none"/>
              </w:rPr>
            </w:pPr>
          </w:p>
        </w:tc>
        <w:tc>
          <w:tcPr>
            <w:tcW w:w="768"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744"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2623" w:type="dxa"/>
            <w:gridSpan w:val="2"/>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金额单位：万元</w:t>
            </w:r>
          </w:p>
        </w:tc>
      </w:tr>
      <w:tr>
        <w:tblPrEx>
          <w:shd w:val="clear" w:color="auto" w:fill="auto"/>
          <w:tblCellMar>
            <w:top w:w="0" w:type="dxa"/>
            <w:left w:w="0" w:type="dxa"/>
            <w:bottom w:w="0" w:type="dxa"/>
            <w:right w:w="0" w:type="dxa"/>
          </w:tblCellMar>
        </w:tblPrEx>
        <w:trPr>
          <w:trHeight w:val="362" w:hRule="atLeast"/>
          <w:jc w:val="center"/>
        </w:trPr>
        <w:tc>
          <w:tcPr>
            <w:tcW w:w="361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人员经费</w:t>
            </w:r>
          </w:p>
        </w:tc>
        <w:tc>
          <w:tcPr>
            <w:tcW w:w="6389"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公用经费</w:t>
            </w:r>
          </w:p>
        </w:tc>
      </w:tr>
      <w:tr>
        <w:tblPrEx>
          <w:shd w:val="clear" w:color="auto" w:fill="auto"/>
          <w:tblCellMar>
            <w:top w:w="0" w:type="dxa"/>
            <w:left w:w="0" w:type="dxa"/>
            <w:bottom w:w="0" w:type="dxa"/>
            <w:right w:w="0" w:type="dxa"/>
          </w:tblCellMar>
        </w:tblPrEx>
        <w:trPr>
          <w:trHeight w:val="362" w:hRule="atLeast"/>
          <w:jc w:val="center"/>
        </w:trPr>
        <w:tc>
          <w:tcPr>
            <w:tcW w:w="896"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科目</w:t>
            </w:r>
          </w:p>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编码</w:t>
            </w:r>
          </w:p>
        </w:tc>
        <w:tc>
          <w:tcPr>
            <w:tcW w:w="193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科目名称</w:t>
            </w:r>
          </w:p>
        </w:tc>
        <w:tc>
          <w:tcPr>
            <w:tcW w:w="78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决算数</w:t>
            </w:r>
          </w:p>
        </w:tc>
        <w:tc>
          <w:tcPr>
            <w:tcW w:w="65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科目编码</w:t>
            </w:r>
          </w:p>
        </w:tc>
        <w:tc>
          <w:tcPr>
            <w:tcW w:w="159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科目名称</w:t>
            </w:r>
          </w:p>
        </w:tc>
        <w:tc>
          <w:tcPr>
            <w:tcW w:w="76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决算数</w:t>
            </w:r>
          </w:p>
        </w:tc>
        <w:tc>
          <w:tcPr>
            <w:tcW w:w="744"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科目</w:t>
            </w:r>
          </w:p>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编码</w:t>
            </w:r>
          </w:p>
        </w:tc>
        <w:tc>
          <w:tcPr>
            <w:tcW w:w="18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科目名称</w:t>
            </w:r>
          </w:p>
        </w:tc>
        <w:tc>
          <w:tcPr>
            <w:tcW w:w="73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决算数</w:t>
            </w:r>
          </w:p>
        </w:tc>
      </w:tr>
      <w:tr>
        <w:tblPrEx>
          <w:shd w:val="clear" w:color="auto" w:fill="auto"/>
          <w:tblCellMar>
            <w:top w:w="0" w:type="dxa"/>
            <w:left w:w="0" w:type="dxa"/>
            <w:bottom w:w="0" w:type="dxa"/>
            <w:right w:w="0" w:type="dxa"/>
          </w:tblCellMar>
        </w:tblPrEx>
        <w:trPr>
          <w:trHeight w:val="349" w:hRule="atLeast"/>
          <w:jc w:val="center"/>
        </w:trPr>
        <w:tc>
          <w:tcPr>
            <w:tcW w:w="896"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93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78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5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59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76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744"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8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73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工资福利支出</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247.15</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商品和服务支出</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29.74</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307</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债务利息及费用支出</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180" w:lineRule="exact"/>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30101</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基本工资</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61.28</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30201</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办公费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3.36</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30701</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国内债务付息</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180" w:lineRule="exact"/>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30102</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津贴补贴</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13.38</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30202</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印刷费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30702</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国外债务付息</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180" w:lineRule="exact"/>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30103</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奖金</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27.25</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30203</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咨询费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资本性支出</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180" w:lineRule="exact"/>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30106</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伙食补助费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30204</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手续费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31001</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房屋建筑物购建</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180" w:lineRule="exact"/>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30107</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绩效工资</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60.96</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30205</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水费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31002</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办公设备购置</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180" w:lineRule="exact"/>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30108</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机关事业单位基本养老保险缴费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34.16</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30206</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电费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31003</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专用设备购置</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180" w:lineRule="exact"/>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30109</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职业年金缴费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9.54</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30207</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邮电费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0.30</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31005</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基础设施建设</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180" w:lineRule="exact"/>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30110</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职工基本医疗保险缴费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7.83</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30208</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取暖费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31006</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大型修缮</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180" w:lineRule="exact"/>
              <w:jc w:val="right"/>
              <w:rPr>
                <w:rFonts w:hint="eastAsia" w:ascii="宋体" w:hAnsi="宋体" w:eastAsia="宋体" w:cs="宋体"/>
                <w:i w:val="0"/>
                <w:color w:val="000000"/>
                <w:sz w:val="20"/>
                <w:szCs w:val="20"/>
                <w:u w:val="none"/>
              </w:rPr>
            </w:pPr>
          </w:p>
        </w:tc>
      </w:tr>
      <w:tr>
        <w:tblPrEx>
          <w:shd w:val="clear" w:color="auto" w:fill="auto"/>
        </w:tblPrEx>
        <w:trPr>
          <w:trHeight w:val="4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30111</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公务员医疗补助缴费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14.92</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30209</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物业管理费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31007</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信息网络及软件购置更新</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180" w:lineRule="exact"/>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30112</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其他社会保障缴费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1.86</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30211</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差旅费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0.80</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31008</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物资储备</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180" w:lineRule="exact"/>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30113</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住房公积金</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13.23</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30212</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因公出国（境）费用</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31009</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土地补偿</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180" w:lineRule="exact"/>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30114</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医疗费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30213</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维修（护）费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31010</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安置补助</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180" w:lineRule="exact"/>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30199</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其他工资福利支出</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2.74</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30214</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租赁费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31011</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地上附着物和青苗补偿</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180" w:lineRule="exact"/>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对个人和家庭的补助</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34.22</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30215</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会议费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31012</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拆迁补偿</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180" w:lineRule="exact"/>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30301</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离休费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30216</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培训费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31013</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公务用车购置</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180" w:lineRule="exact"/>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30302</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退休费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34.15</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left"/>
              <w:rPr>
                <w:rFonts w:hint="eastAsia" w:ascii="宋体" w:hAnsi="宋体" w:eastAsia="宋体" w:cs="宋体"/>
                <w:i w:val="0"/>
                <w:color w:val="000000"/>
                <w:sz w:val="20"/>
                <w:szCs w:val="20"/>
                <w:u w:val="none"/>
              </w:rPr>
            </w:pP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公务接待费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31019</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其他交通工具购置</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180" w:lineRule="exact"/>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30303</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退职（役）费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30218</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专用材料费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31021</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文物和陈列品购置</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180" w:lineRule="exact"/>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30304</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抚恤金</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30224</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被装购置费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31022</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无形资产购置</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180" w:lineRule="exact"/>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30305</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生活补助</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30225</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专用燃料费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31099</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其他资本性支出</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180" w:lineRule="exact"/>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30306</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救济费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30226</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劳务费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19.41</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399</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其他支出</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180" w:lineRule="exact"/>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30307</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医疗费补助</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30227</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委托业务费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39906</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赠与</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180" w:lineRule="exact"/>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30308</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助学金</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30228</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工会经费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1.34</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39907</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国家赔偿费用支出</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180" w:lineRule="exact"/>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30309</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奖励金</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0.07</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30229</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福利费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1.3</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39908</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 xml:space="preserve"> 对民间非营利组织和群众性自治组织补贴</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180" w:lineRule="exact"/>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30310</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个人农业生产补贴</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30231</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公务用车运行维护费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2.25</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39999</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其他支出</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180" w:lineRule="exact"/>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30399</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其他对个人和家庭的补助</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30239</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其他交通费用</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left"/>
              <w:rPr>
                <w:rFonts w:hint="eastAsia" w:ascii="宋体" w:hAnsi="宋体" w:eastAsia="宋体" w:cs="宋体"/>
                <w:i w:val="0"/>
                <w:color w:val="000000"/>
                <w:sz w:val="20"/>
                <w:szCs w:val="20"/>
                <w:u w:val="none"/>
              </w:rPr>
            </w:pP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left"/>
              <w:rPr>
                <w:rFonts w:hint="eastAsia" w:ascii="宋体" w:hAnsi="宋体" w:eastAsia="宋体" w:cs="宋体"/>
                <w:i w:val="0"/>
                <w:color w:val="000000"/>
                <w:sz w:val="20"/>
                <w:szCs w:val="20"/>
                <w:u w:val="none"/>
              </w:rPr>
            </w:pP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180" w:lineRule="exact"/>
              <w:jc w:val="righ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left"/>
              <w:rPr>
                <w:rFonts w:hint="eastAsia" w:ascii="宋体" w:hAnsi="宋体" w:eastAsia="宋体" w:cs="宋体"/>
                <w:i w:val="0"/>
                <w:color w:val="000000"/>
                <w:sz w:val="20"/>
                <w:szCs w:val="20"/>
                <w:u w:val="none"/>
              </w:rPr>
            </w:pP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left"/>
              <w:rPr>
                <w:rFonts w:hint="eastAsia" w:ascii="宋体" w:hAnsi="宋体" w:eastAsia="宋体" w:cs="宋体"/>
                <w:i w:val="0"/>
                <w:color w:val="000000"/>
                <w:sz w:val="20"/>
                <w:szCs w:val="20"/>
                <w:u w:val="none"/>
              </w:rPr>
            </w:pP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30240</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税金及附加费用</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left"/>
              <w:rPr>
                <w:rFonts w:hint="eastAsia" w:ascii="宋体" w:hAnsi="宋体" w:eastAsia="宋体" w:cs="宋体"/>
                <w:i w:val="0"/>
                <w:color w:val="000000"/>
                <w:sz w:val="20"/>
                <w:szCs w:val="20"/>
                <w:u w:val="none"/>
              </w:rPr>
            </w:pP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left"/>
              <w:rPr>
                <w:rFonts w:hint="eastAsia" w:ascii="宋体" w:hAnsi="宋体" w:eastAsia="宋体" w:cs="宋体"/>
                <w:i w:val="0"/>
                <w:color w:val="000000"/>
                <w:sz w:val="20"/>
                <w:szCs w:val="20"/>
                <w:u w:val="none"/>
              </w:rPr>
            </w:pP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180" w:lineRule="exact"/>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left"/>
              <w:rPr>
                <w:rFonts w:hint="eastAsia" w:ascii="宋体" w:hAnsi="宋体" w:eastAsia="宋体" w:cs="宋体"/>
                <w:i w:val="0"/>
                <w:color w:val="000000"/>
                <w:sz w:val="20"/>
                <w:szCs w:val="20"/>
                <w:u w:val="none"/>
              </w:rPr>
            </w:pP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left"/>
              <w:rPr>
                <w:rFonts w:hint="eastAsia" w:ascii="宋体" w:hAnsi="宋体" w:eastAsia="宋体" w:cs="宋体"/>
                <w:i w:val="0"/>
                <w:color w:val="000000"/>
                <w:sz w:val="20"/>
                <w:szCs w:val="20"/>
                <w:u w:val="none"/>
              </w:rPr>
            </w:pP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eastAsia" w:ascii="宋体" w:hAnsi="宋体" w:eastAsia="宋体" w:cs="宋体"/>
                <w:i w:val="0"/>
                <w:color w:val="000000"/>
                <w:sz w:val="20"/>
                <w:szCs w:val="20"/>
                <w:u w:val="none"/>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30299</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其他商品和服务支出</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0.98</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left"/>
              <w:rPr>
                <w:rFonts w:hint="eastAsia" w:ascii="宋体" w:hAnsi="宋体" w:eastAsia="宋体" w:cs="宋体"/>
                <w:i w:val="0"/>
                <w:color w:val="000000"/>
                <w:sz w:val="20"/>
                <w:szCs w:val="20"/>
                <w:u w:val="none"/>
              </w:rPr>
            </w:pP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left"/>
              <w:rPr>
                <w:rFonts w:hint="eastAsia" w:ascii="宋体" w:hAnsi="宋体" w:eastAsia="宋体" w:cs="宋体"/>
                <w:i w:val="0"/>
                <w:color w:val="000000"/>
                <w:sz w:val="20"/>
                <w:szCs w:val="20"/>
                <w:u w:val="none"/>
              </w:rPr>
            </w:pP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180" w:lineRule="exact"/>
              <w:jc w:val="righ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317" w:hRule="atLeast"/>
          <w:jc w:val="center"/>
        </w:trPr>
        <w:tc>
          <w:tcPr>
            <w:tcW w:w="28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人员经费合计</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20" w:lineRule="exact"/>
              <w:jc w:val="righ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281.37</w:t>
            </w:r>
          </w:p>
        </w:tc>
        <w:tc>
          <w:tcPr>
            <w:tcW w:w="565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公用经费合计</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180" w:lineRule="exact"/>
              <w:jc w:val="right"/>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val="en-US" w:eastAsia="zh-CN"/>
              </w:rPr>
              <w:t>29.74</w:t>
            </w:r>
          </w:p>
        </w:tc>
      </w:tr>
    </w:tbl>
    <w:p>
      <w:pPr>
        <w:rPr>
          <w:rFonts w:hint="default"/>
          <w:lang w:val="en-US" w:eastAsia="zh-CN"/>
        </w:rPr>
      </w:pPr>
      <w:r>
        <w:rPr>
          <w:rFonts w:hint="default"/>
          <w:lang w:val="en-US" w:eastAsia="zh-CN"/>
        </w:rPr>
        <w:br w:type="page"/>
      </w:r>
    </w:p>
    <w:tbl>
      <w:tblPr>
        <w:tblStyle w:val="6"/>
        <w:tblW w:w="9221" w:type="dxa"/>
        <w:jc w:val="center"/>
        <w:shd w:val="clear" w:color="auto" w:fill="auto"/>
        <w:tblLayout w:type="autofit"/>
        <w:tblCellMar>
          <w:top w:w="0" w:type="dxa"/>
          <w:left w:w="0" w:type="dxa"/>
          <w:bottom w:w="0" w:type="dxa"/>
          <w:right w:w="0" w:type="dxa"/>
        </w:tblCellMar>
      </w:tblPr>
      <w:tblGrid>
        <w:gridCol w:w="2430"/>
        <w:gridCol w:w="1686"/>
        <w:gridCol w:w="1071"/>
        <w:gridCol w:w="1071"/>
        <w:gridCol w:w="1391"/>
        <w:gridCol w:w="1572"/>
      </w:tblGrid>
      <w:tr>
        <w:tblPrEx>
          <w:shd w:val="clear" w:color="auto" w:fill="auto"/>
          <w:tblCellMar>
            <w:top w:w="0" w:type="dxa"/>
            <w:left w:w="0" w:type="dxa"/>
            <w:bottom w:w="0" w:type="dxa"/>
            <w:right w:w="0" w:type="dxa"/>
          </w:tblCellMar>
        </w:tblPrEx>
        <w:trPr>
          <w:trHeight w:val="638" w:hRule="atLeast"/>
          <w:jc w:val="center"/>
        </w:trPr>
        <w:tc>
          <w:tcPr>
            <w:tcW w:w="9221" w:type="dxa"/>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黑体" w:hAnsi="宋体" w:eastAsia="黑体" w:cs="黑体"/>
                <w:i w:val="0"/>
                <w:color w:val="000000"/>
                <w:sz w:val="32"/>
                <w:szCs w:val="32"/>
                <w:u w:val="none"/>
              </w:rPr>
            </w:pPr>
            <w:r>
              <w:rPr>
                <w:rFonts w:hint="eastAsia" w:ascii="黑体" w:hAnsi="宋体" w:eastAsia="黑体" w:cs="黑体"/>
                <w:i w:val="0"/>
                <w:color w:val="000000"/>
                <w:kern w:val="0"/>
                <w:sz w:val="32"/>
                <w:szCs w:val="32"/>
                <w:u w:val="none"/>
                <w:lang w:val="en-US" w:eastAsia="zh-CN" w:bidi="ar"/>
              </w:rPr>
              <w:t>一般公共预算财政拨款“三公”经费支出决算表</w:t>
            </w:r>
          </w:p>
        </w:tc>
      </w:tr>
      <w:tr>
        <w:tblPrEx>
          <w:shd w:val="clear" w:color="auto" w:fill="auto"/>
          <w:tblCellMar>
            <w:top w:w="0" w:type="dxa"/>
            <w:left w:w="0" w:type="dxa"/>
            <w:bottom w:w="0" w:type="dxa"/>
            <w:right w:w="0" w:type="dxa"/>
          </w:tblCellMar>
        </w:tblPrEx>
        <w:trPr>
          <w:trHeight w:val="360"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hint="eastAsia"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1391"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公开07表</w:t>
            </w:r>
          </w:p>
        </w:tc>
      </w:tr>
      <w:tr>
        <w:tblPrEx>
          <w:shd w:val="clear" w:color="auto" w:fill="auto"/>
          <w:tblCellMar>
            <w:top w:w="0" w:type="dxa"/>
            <w:left w:w="0" w:type="dxa"/>
            <w:bottom w:w="0" w:type="dxa"/>
            <w:right w:w="0" w:type="dxa"/>
          </w:tblCellMar>
        </w:tblPrEx>
        <w:trPr>
          <w:trHeight w:val="360"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部门：唐山市丰南区图书馆</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1391" w:type="dxa"/>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shd w:val="clear" w:color="auto" w:fill="auto"/>
          <w:tblCellMar>
            <w:top w:w="0" w:type="dxa"/>
            <w:left w:w="0" w:type="dxa"/>
            <w:bottom w:w="0" w:type="dxa"/>
            <w:right w:w="0" w:type="dxa"/>
          </w:tblCellMar>
        </w:tblPrEx>
        <w:trPr>
          <w:trHeight w:val="417" w:hRule="atLeast"/>
          <w:jc w:val="center"/>
        </w:trPr>
        <w:tc>
          <w:tcPr>
            <w:tcW w:w="9221"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预算数</w:t>
            </w:r>
          </w:p>
        </w:tc>
      </w:tr>
      <w:tr>
        <w:tblPrEx>
          <w:shd w:val="clear" w:color="auto" w:fill="auto"/>
          <w:tblCellMar>
            <w:top w:w="0" w:type="dxa"/>
            <w:left w:w="0" w:type="dxa"/>
            <w:bottom w:w="0" w:type="dxa"/>
            <w:right w:w="0" w:type="dxa"/>
          </w:tblCellMar>
        </w:tblPrEx>
        <w:trPr>
          <w:trHeight w:val="417" w:hRule="atLeast"/>
          <w:jc w:val="center"/>
        </w:trPr>
        <w:tc>
          <w:tcPr>
            <w:tcW w:w="2430"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因公出国（境）费</w:t>
            </w:r>
          </w:p>
        </w:tc>
        <w:tc>
          <w:tcPr>
            <w:tcW w:w="3533"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公务接待费</w:t>
            </w:r>
          </w:p>
        </w:tc>
      </w:tr>
      <w:tr>
        <w:tblPrEx>
          <w:shd w:val="clear" w:color="auto" w:fill="auto"/>
          <w:tblCellMar>
            <w:top w:w="0" w:type="dxa"/>
            <w:left w:w="0" w:type="dxa"/>
            <w:bottom w:w="0" w:type="dxa"/>
            <w:right w:w="0" w:type="dxa"/>
          </w:tblCellMar>
        </w:tblPrEx>
        <w:trPr>
          <w:trHeight w:val="417" w:hRule="atLeast"/>
          <w:jc w:val="center"/>
        </w:trPr>
        <w:tc>
          <w:tcPr>
            <w:tcW w:w="2430"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小计</w:t>
            </w:r>
          </w:p>
        </w:tc>
        <w:tc>
          <w:tcPr>
            <w:tcW w:w="10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公务用车购置费</w:t>
            </w:r>
          </w:p>
        </w:tc>
        <w:tc>
          <w:tcPr>
            <w:tcW w:w="13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417" w:hRule="atLeast"/>
          <w:jc w:val="center"/>
        </w:trPr>
        <w:tc>
          <w:tcPr>
            <w:tcW w:w="2430"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0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0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3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r>
      <w:tr>
        <w:tblPrEx>
          <w:shd w:val="clear" w:color="auto" w:fill="auto"/>
          <w:tblCellMar>
            <w:top w:w="0" w:type="dxa"/>
            <w:left w:w="0" w:type="dxa"/>
            <w:bottom w:w="0" w:type="dxa"/>
            <w:right w:w="0" w:type="dxa"/>
          </w:tblCellMar>
        </w:tblPrEx>
        <w:trPr>
          <w:trHeight w:val="417" w:hRule="atLeast"/>
          <w:jc w:val="center"/>
        </w:trPr>
        <w:tc>
          <w:tcPr>
            <w:tcW w:w="0" w:type="auto"/>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2.50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13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2.50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p>
        </w:tc>
      </w:tr>
      <w:tr>
        <w:tblPrEx>
          <w:shd w:val="clear" w:color="auto" w:fill="auto"/>
          <w:tblCellMar>
            <w:top w:w="0" w:type="dxa"/>
            <w:left w:w="0" w:type="dxa"/>
            <w:bottom w:w="0" w:type="dxa"/>
            <w:right w:w="0" w:type="dxa"/>
          </w:tblCellMar>
        </w:tblPrEx>
        <w:trPr>
          <w:trHeight w:val="417" w:hRule="atLeast"/>
          <w:jc w:val="center"/>
        </w:trPr>
        <w:tc>
          <w:tcPr>
            <w:tcW w:w="9221"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决算数</w:t>
            </w:r>
          </w:p>
        </w:tc>
      </w:tr>
      <w:tr>
        <w:tblPrEx>
          <w:shd w:val="clear" w:color="auto" w:fill="auto"/>
          <w:tblCellMar>
            <w:top w:w="0" w:type="dxa"/>
            <w:left w:w="0" w:type="dxa"/>
            <w:bottom w:w="0" w:type="dxa"/>
            <w:right w:w="0" w:type="dxa"/>
          </w:tblCellMar>
        </w:tblPrEx>
        <w:trPr>
          <w:trHeight w:val="417" w:hRule="atLeast"/>
          <w:jc w:val="center"/>
        </w:trPr>
        <w:tc>
          <w:tcPr>
            <w:tcW w:w="2430"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因公出国（境）费</w:t>
            </w:r>
          </w:p>
        </w:tc>
        <w:tc>
          <w:tcPr>
            <w:tcW w:w="3533"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公务接待费</w:t>
            </w:r>
          </w:p>
        </w:tc>
      </w:tr>
      <w:tr>
        <w:tblPrEx>
          <w:shd w:val="clear" w:color="auto" w:fill="auto"/>
          <w:tblCellMar>
            <w:top w:w="0" w:type="dxa"/>
            <w:left w:w="0" w:type="dxa"/>
            <w:bottom w:w="0" w:type="dxa"/>
            <w:right w:w="0" w:type="dxa"/>
          </w:tblCellMar>
        </w:tblPrEx>
        <w:trPr>
          <w:trHeight w:val="417" w:hRule="atLeast"/>
          <w:jc w:val="center"/>
        </w:trPr>
        <w:tc>
          <w:tcPr>
            <w:tcW w:w="2430"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小计</w:t>
            </w:r>
          </w:p>
        </w:tc>
        <w:tc>
          <w:tcPr>
            <w:tcW w:w="10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公务用车购置费</w:t>
            </w:r>
          </w:p>
        </w:tc>
        <w:tc>
          <w:tcPr>
            <w:tcW w:w="13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417" w:hRule="atLeast"/>
          <w:jc w:val="center"/>
        </w:trPr>
        <w:tc>
          <w:tcPr>
            <w:tcW w:w="2430"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10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10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3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r>
      <w:tr>
        <w:tblPrEx>
          <w:shd w:val="clear" w:color="auto" w:fill="auto"/>
          <w:tblCellMar>
            <w:top w:w="0" w:type="dxa"/>
            <w:left w:w="0" w:type="dxa"/>
            <w:bottom w:w="0" w:type="dxa"/>
            <w:right w:w="0" w:type="dxa"/>
          </w:tblCellMar>
        </w:tblPrEx>
        <w:trPr>
          <w:trHeight w:val="447" w:hRule="atLeast"/>
          <w:jc w:val="center"/>
        </w:trPr>
        <w:tc>
          <w:tcPr>
            <w:tcW w:w="0" w:type="auto"/>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2.25</w:t>
            </w:r>
          </w:p>
        </w:tc>
        <w:tc>
          <w:tcPr>
            <w:tcW w:w="0" w:type="auto"/>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1391"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2.25</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bl>
    <w:p>
      <w:pPr>
        <w:rPr>
          <w:rFonts w:hint="default"/>
          <w:lang w:val="en-US" w:eastAsia="zh-CN"/>
        </w:rPr>
      </w:pPr>
      <w:r>
        <w:rPr>
          <w:rFonts w:hint="eastAsia" w:ascii="宋体" w:hAnsi="宋体" w:eastAsia="宋体" w:cs="宋体"/>
          <w:lang w:val="en-US" w:eastAsia="zh-CN"/>
        </w:rPr>
        <w:t>注：本表反映部门本年度“三公”经费支出预决算情况。其中：预算数为“三公”经费全年预算数，反映按规定程序调整后的预算数；决算数是包括当年一般公共预算财政拨款和以前年度结转资金安排的实际支出。</w:t>
      </w:r>
      <w:r>
        <w:rPr>
          <w:rFonts w:hint="eastAsia" w:ascii="仿宋_GB2312" w:hAnsi="仿宋_GB2312" w:eastAsia="仿宋_GB2312" w:cs="仿宋_GB2312"/>
          <w:lang w:val="en-US" w:eastAsia="zh-CN"/>
        </w:rPr>
        <w:tab/>
      </w:r>
      <w:r>
        <w:rPr>
          <w:rFonts w:hint="default"/>
          <w:lang w:val="en-US" w:eastAsia="zh-CN"/>
        </w:rPr>
        <w:tab/>
      </w:r>
      <w:r>
        <w:rPr>
          <w:rFonts w:hint="default"/>
          <w:lang w:val="en-US" w:eastAsia="zh-CN"/>
        </w:rPr>
        <w:tab/>
      </w:r>
      <w:r>
        <w:rPr>
          <w:rFonts w:hint="default"/>
          <w:lang w:val="en-US" w:eastAsia="zh-CN"/>
        </w:rPr>
        <w:tab/>
      </w:r>
      <w:r>
        <w:rPr>
          <w:rFonts w:hint="default"/>
          <w:lang w:val="en-US" w:eastAsia="zh-CN"/>
        </w:rPr>
        <w:tab/>
      </w:r>
      <w:r>
        <w:rPr>
          <w:rFonts w:hint="default"/>
          <w:lang w:val="en-US" w:eastAsia="zh-CN"/>
        </w:rPr>
        <w:tab/>
      </w:r>
      <w:r>
        <w:rPr>
          <w:rFonts w:hint="default"/>
          <w:lang w:val="en-US" w:eastAsia="zh-CN"/>
        </w:rPr>
        <w:tab/>
      </w:r>
      <w:r>
        <w:rPr>
          <w:rFonts w:hint="default"/>
          <w:lang w:val="en-US" w:eastAsia="zh-CN"/>
        </w:rPr>
        <w:tab/>
      </w:r>
      <w:r>
        <w:rPr>
          <w:rFonts w:hint="default"/>
          <w:lang w:val="en-US" w:eastAsia="zh-CN"/>
        </w:rPr>
        <w:tab/>
      </w:r>
      <w:r>
        <w:rPr>
          <w:rFonts w:hint="default"/>
          <w:lang w:val="en-US" w:eastAsia="zh-CN"/>
        </w:rPr>
        <w:tab/>
      </w:r>
      <w:r>
        <w:rPr>
          <w:rFonts w:hint="default"/>
          <w:lang w:val="en-US" w:eastAsia="zh-CN"/>
        </w:rPr>
        <w:tab/>
      </w:r>
      <w:r>
        <w:rPr>
          <w:rFonts w:hint="default"/>
          <w:lang w:val="en-US" w:eastAsia="zh-CN"/>
        </w:rPr>
        <w:br w:type="page"/>
      </w:r>
    </w:p>
    <w:tbl>
      <w:tblPr>
        <w:tblStyle w:val="6"/>
        <w:tblW w:w="9510" w:type="dxa"/>
        <w:jc w:val="center"/>
        <w:shd w:val="clear" w:color="auto" w:fill="auto"/>
        <w:tblLayout w:type="autofit"/>
        <w:tblCellMar>
          <w:top w:w="0" w:type="dxa"/>
          <w:left w:w="0" w:type="dxa"/>
          <w:bottom w:w="0" w:type="dxa"/>
          <w:right w:w="0" w:type="dxa"/>
        </w:tblCellMar>
      </w:tblPr>
      <w:tblGrid>
        <w:gridCol w:w="630"/>
        <w:gridCol w:w="36"/>
        <w:gridCol w:w="36"/>
        <w:gridCol w:w="1830"/>
        <w:gridCol w:w="1163"/>
        <w:gridCol w:w="1163"/>
        <w:gridCol w:w="1163"/>
        <w:gridCol w:w="1163"/>
        <w:gridCol w:w="1163"/>
        <w:gridCol w:w="1163"/>
      </w:tblGrid>
      <w:tr>
        <w:tblPrEx>
          <w:shd w:val="clear" w:color="auto" w:fill="auto"/>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黑体" w:hAnsi="宋体" w:eastAsia="黑体" w:cs="黑体"/>
                <w:i w:val="0"/>
                <w:color w:val="000000"/>
                <w:sz w:val="32"/>
                <w:szCs w:val="32"/>
                <w:u w:val="none"/>
              </w:rPr>
            </w:pPr>
            <w:r>
              <w:rPr>
                <w:rFonts w:hint="eastAsia" w:ascii="黑体" w:hAnsi="宋体" w:eastAsia="黑体" w:cs="黑体"/>
                <w:i w:val="0"/>
                <w:color w:val="000000"/>
                <w:kern w:val="0"/>
                <w:sz w:val="32"/>
                <w:szCs w:val="32"/>
                <w:u w:val="none"/>
                <w:lang w:val="en-US" w:eastAsia="zh-CN" w:bidi="ar"/>
              </w:rPr>
              <w:t>政府性基金预算财政拨款收入支出决算表</w:t>
            </w:r>
          </w:p>
        </w:tc>
      </w:tr>
      <w:tr>
        <w:tblPrEx>
          <w:shd w:val="clear" w:color="auto" w:fill="auto"/>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hint="eastAsia"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公开08表</w:t>
            </w:r>
          </w:p>
        </w:tc>
      </w:tr>
      <w:tr>
        <w:tblPrEx>
          <w:shd w:val="clear" w:color="auto" w:fill="auto"/>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r>
              <w:rPr>
                <w:rFonts w:hint="eastAsia" w:ascii="Arial" w:hAnsi="Arial" w:cs="Arial"/>
                <w:i w:val="0"/>
                <w:color w:val="000000"/>
                <w:sz w:val="20"/>
                <w:szCs w:val="20"/>
                <w:u w:val="none"/>
                <w:lang w:val="en-US" w:eastAsia="zh-CN"/>
              </w:rPr>
              <w:t>唐山市丰南区图书馆</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shd w:val="clear" w:color="auto" w:fill="auto"/>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w:t>
            </w:r>
          </w:p>
        </w:tc>
        <w:tc>
          <w:tcPr>
            <w:tcW w:w="117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年初结转和结余</w:t>
            </w:r>
          </w:p>
        </w:tc>
        <w:tc>
          <w:tcPr>
            <w:tcW w:w="117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本年收入</w:t>
            </w:r>
          </w:p>
        </w:tc>
        <w:tc>
          <w:tcPr>
            <w:tcW w:w="351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本年支出</w:t>
            </w:r>
          </w:p>
        </w:tc>
        <w:tc>
          <w:tcPr>
            <w:tcW w:w="117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年末结转和结余</w:t>
            </w:r>
          </w:p>
        </w:tc>
      </w:tr>
      <w:tr>
        <w:tblPrEx>
          <w:shd w:val="clear" w:color="auto" w:fill="auto"/>
          <w:tblCellMar>
            <w:top w:w="0" w:type="dxa"/>
            <w:left w:w="0" w:type="dxa"/>
            <w:bottom w:w="0" w:type="dxa"/>
            <w:right w:w="0" w:type="dxa"/>
          </w:tblCellMar>
        </w:tblPrEx>
        <w:trPr>
          <w:trHeight w:val="308" w:hRule="atLeast"/>
          <w:jc w:val="center"/>
        </w:trPr>
        <w:tc>
          <w:tcPr>
            <w:tcW w:w="990"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科目名称</w:t>
            </w: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7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小计</w:t>
            </w:r>
          </w:p>
        </w:tc>
        <w:tc>
          <w:tcPr>
            <w:tcW w:w="117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基本支出</w:t>
            </w:r>
          </w:p>
        </w:tc>
        <w:tc>
          <w:tcPr>
            <w:tcW w:w="117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项目支出</w:t>
            </w: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8" w:hRule="atLeast"/>
          <w:jc w:val="center"/>
        </w:trPr>
        <w:tc>
          <w:tcPr>
            <w:tcW w:w="990"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7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7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7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rPr>
          <w:trHeight w:val="308" w:hRule="atLeast"/>
          <w:jc w:val="center"/>
        </w:trPr>
        <w:tc>
          <w:tcPr>
            <w:tcW w:w="990"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7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7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7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r>
      <w:tr>
        <w:tblPrEx>
          <w:shd w:val="clear" w:color="auto" w:fill="auto"/>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i w:val="0"/>
                <w:color w:val="000000"/>
                <w:sz w:val="22"/>
                <w:szCs w:val="22"/>
                <w:u w:val="none"/>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bl>
    <w:p>
      <w:pPr>
        <w:widowControl/>
        <w:adjustRightInd w:val="0"/>
        <w:spacing w:after="0" w:line="240" w:lineRule="auto"/>
        <w:jc w:val="left"/>
        <w:textAlignment w:val="center"/>
        <w:rPr>
          <w:rFonts w:ascii="宋体" w:cs="宋体"/>
          <w:color w:val="000000"/>
          <w:kern w:val="0"/>
          <w:szCs w:val="21"/>
        </w:rPr>
      </w:pPr>
      <w:r>
        <w:rPr>
          <w:rFonts w:hint="eastAsia" w:ascii="宋体" w:hAnsi="宋体" w:cs="宋体"/>
          <w:color w:val="000000"/>
          <w:kern w:val="0"/>
          <w:szCs w:val="21"/>
        </w:rPr>
        <w:t>注：</w:t>
      </w:r>
      <w:r>
        <w:rPr>
          <w:rFonts w:ascii="宋体" w:hAnsi="宋体" w:cs="宋体"/>
          <w:color w:val="000000"/>
          <w:kern w:val="0"/>
          <w:szCs w:val="21"/>
        </w:rPr>
        <w:t>1.</w:t>
      </w:r>
      <w:r>
        <w:rPr>
          <w:rFonts w:hint="eastAsia" w:ascii="宋体" w:hAnsi="宋体" w:cs="宋体"/>
          <w:color w:val="000000"/>
          <w:kern w:val="0"/>
          <w:szCs w:val="21"/>
        </w:rPr>
        <w:t>本表反映部门本年度政府性基金预算财政拨款收入、支出及结转和结余情况。</w:t>
      </w:r>
    </w:p>
    <w:p>
      <w:pPr>
        <w:rPr>
          <w:rFonts w:hint="default"/>
          <w:lang w:val="en-US" w:eastAsia="zh-CN"/>
        </w:rPr>
      </w:pPr>
      <w:r>
        <w:rPr>
          <w:rFonts w:ascii="宋体" w:hAnsi="宋体" w:cs="宋体"/>
          <w:color w:val="000000"/>
          <w:kern w:val="0"/>
          <w:szCs w:val="21"/>
        </w:rPr>
        <w:t xml:space="preserve">    2.</w:t>
      </w:r>
      <w:r>
        <w:rPr>
          <w:rFonts w:hint="eastAsia" w:ascii="宋体" w:hAnsi="宋体" w:cs="宋体"/>
          <w:color w:val="000000"/>
          <w:kern w:val="0"/>
          <w:szCs w:val="21"/>
        </w:rPr>
        <w:t>本部门本年度无相关收入支出情况，按要求空表列示。</w:t>
      </w:r>
      <w:r>
        <w:rPr>
          <w:rFonts w:ascii="宋体" w:hAnsi="宋体" w:cs="宋体"/>
          <w:color w:val="000000"/>
          <w:kern w:val="0"/>
          <w:szCs w:val="21"/>
        </w:rPr>
        <w:t xml:space="preserve">      </w:t>
      </w:r>
      <w:r>
        <w:rPr>
          <w:rFonts w:hint="default"/>
          <w:lang w:val="en-US" w:eastAsia="zh-CN"/>
        </w:rPr>
        <w:br w:type="page"/>
      </w:r>
    </w:p>
    <w:tbl>
      <w:tblPr>
        <w:tblStyle w:val="6"/>
        <w:tblW w:w="9915" w:type="dxa"/>
        <w:jc w:val="center"/>
        <w:shd w:val="clear" w:color="auto" w:fill="auto"/>
        <w:tblLayout w:type="autofit"/>
        <w:tblCellMar>
          <w:top w:w="0" w:type="dxa"/>
          <w:left w:w="0" w:type="dxa"/>
          <w:bottom w:w="0" w:type="dxa"/>
          <w:right w:w="0" w:type="dxa"/>
        </w:tblCellMar>
      </w:tblPr>
      <w:tblGrid>
        <w:gridCol w:w="1176"/>
        <w:gridCol w:w="67"/>
        <w:gridCol w:w="67"/>
        <w:gridCol w:w="4328"/>
        <w:gridCol w:w="878"/>
        <w:gridCol w:w="1699"/>
        <w:gridCol w:w="1700"/>
      </w:tblGrid>
      <w:tr>
        <w:tblPrEx>
          <w:shd w:val="clear" w:color="auto" w:fill="auto"/>
          <w:tblCellMar>
            <w:top w:w="0" w:type="dxa"/>
            <w:left w:w="0" w:type="dxa"/>
            <w:bottom w:w="0" w:type="dxa"/>
            <w:right w:w="0" w:type="dxa"/>
          </w:tblCellMar>
        </w:tblPrEx>
        <w:trPr>
          <w:trHeight w:val="840" w:hRule="atLeast"/>
          <w:jc w:val="center"/>
        </w:trPr>
        <w:tc>
          <w:tcPr>
            <w:tcW w:w="9915" w:type="dxa"/>
            <w:gridSpan w:val="7"/>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黑体" w:hAnsi="宋体" w:eastAsia="黑体" w:cs="黑体"/>
                <w:i w:val="0"/>
                <w:color w:val="000000"/>
                <w:sz w:val="32"/>
                <w:szCs w:val="32"/>
                <w:u w:val="none"/>
              </w:rPr>
            </w:pPr>
            <w:r>
              <w:rPr>
                <w:rFonts w:hint="eastAsia" w:ascii="黑体" w:hAnsi="宋体" w:eastAsia="黑体" w:cs="黑体"/>
                <w:i w:val="0"/>
                <w:color w:val="000000"/>
                <w:kern w:val="0"/>
                <w:sz w:val="32"/>
                <w:szCs w:val="32"/>
                <w:u w:val="none"/>
                <w:lang w:val="en-US" w:eastAsia="zh-CN" w:bidi="ar"/>
              </w:rPr>
              <w:t>国有资本经营预算财政拨款支出决算表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hint="eastAsia"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公开09表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r>
              <w:rPr>
                <w:rFonts w:hint="eastAsia" w:ascii="Arial" w:hAnsi="Arial" w:cs="Arial"/>
                <w:i w:val="0"/>
                <w:color w:val="000000"/>
                <w:sz w:val="20"/>
                <w:szCs w:val="20"/>
                <w:u w:val="none"/>
                <w:lang w:val="en-US" w:eastAsia="zh-CN"/>
              </w:rPr>
              <w:t>唐山市丰南区图书馆</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cs="Arial"/>
                <w:i w:val="0"/>
                <w:color w:val="000000"/>
                <w:sz w:val="20"/>
                <w:szCs w:val="20"/>
                <w:u w:val="none"/>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shd w:val="clear" w:color="auto" w:fill="auto"/>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w:t>
            </w:r>
          </w:p>
        </w:tc>
        <w:tc>
          <w:tcPr>
            <w:tcW w:w="0" w:type="auto"/>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本年支出</w:t>
            </w:r>
          </w:p>
        </w:tc>
      </w:tr>
      <w:tr>
        <w:tblPrEx>
          <w:shd w:val="clear" w:color="auto" w:fill="auto"/>
          <w:tblCellMar>
            <w:top w:w="0" w:type="dxa"/>
            <w:left w:w="0" w:type="dxa"/>
            <w:bottom w:w="0" w:type="dxa"/>
            <w:right w:w="0" w:type="dxa"/>
          </w:tblCellMar>
        </w:tblPrEx>
        <w:trPr>
          <w:trHeight w:val="615" w:hRule="atLeast"/>
          <w:jc w:val="center"/>
        </w:trPr>
        <w:tc>
          <w:tcPr>
            <w:tcW w:w="171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功能分类科目编码</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科目名称</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小计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基本支出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项目支出</w:t>
            </w:r>
          </w:p>
        </w:tc>
      </w:tr>
      <w:tr>
        <w:tblPrEx>
          <w:shd w:val="clear" w:color="auto" w:fill="auto"/>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i w:val="0"/>
                <w:color w:val="000000"/>
                <w:sz w:val="22"/>
                <w:szCs w:val="22"/>
                <w:u w:val="none"/>
              </w:rPr>
            </w:pPr>
          </w:p>
        </w:tc>
      </w:tr>
      <w:tr>
        <w:tblPrEx>
          <w:shd w:val="clear" w:color="auto" w:fill="auto"/>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28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28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28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28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nil"/>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2805" w:type="dxa"/>
            <w:tcBorders>
              <w:top w:val="nil"/>
              <w:left w:val="nil"/>
              <w:bottom w:val="nil"/>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0" w:type="auto"/>
            <w:tcBorders>
              <w:top w:val="nil"/>
              <w:left w:val="nil"/>
              <w:bottom w:val="nil"/>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nil"/>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nil"/>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shd w:val="clear" w:color="auto" w:fill="auto"/>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28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bl>
    <w:p>
      <w:pPr>
        <w:widowControl/>
        <w:adjustRightInd w:val="0"/>
        <w:spacing w:after="0" w:line="240" w:lineRule="auto"/>
        <w:jc w:val="left"/>
        <w:textAlignment w:val="center"/>
        <w:rPr>
          <w:rFonts w:ascii="宋体" w:cs="宋体"/>
          <w:color w:val="000000"/>
          <w:kern w:val="0"/>
          <w:szCs w:val="21"/>
        </w:rPr>
      </w:pPr>
      <w:r>
        <w:rPr>
          <w:rFonts w:hint="eastAsia" w:ascii="宋体" w:hAnsi="宋体" w:cs="宋体"/>
          <w:color w:val="000000"/>
          <w:kern w:val="0"/>
          <w:szCs w:val="21"/>
        </w:rPr>
        <w:t>注：</w:t>
      </w:r>
      <w:r>
        <w:rPr>
          <w:rFonts w:ascii="宋体" w:hAnsi="宋体" w:cs="宋体"/>
          <w:color w:val="000000"/>
          <w:kern w:val="0"/>
          <w:szCs w:val="21"/>
        </w:rPr>
        <w:t>1.</w:t>
      </w:r>
      <w:r>
        <w:rPr>
          <w:rFonts w:hint="eastAsia" w:ascii="宋体" w:hAnsi="宋体" w:cs="宋体"/>
          <w:color w:val="000000"/>
          <w:kern w:val="0"/>
          <w:szCs w:val="21"/>
        </w:rPr>
        <w:t>本表反映部门本年度政府性基金预算财政拨款收入、支出及结转和结余情况。</w:t>
      </w:r>
    </w:p>
    <w:p>
      <w:pPr>
        <w:rPr>
          <w:rFonts w:hint="default"/>
          <w:lang w:val="en-US" w:eastAsia="zh-CN"/>
        </w:rPr>
      </w:pPr>
      <w:r>
        <w:rPr>
          <w:rFonts w:ascii="宋体" w:hAnsi="宋体" w:cs="宋体"/>
          <w:color w:val="000000"/>
          <w:kern w:val="0"/>
          <w:szCs w:val="21"/>
        </w:rPr>
        <w:t xml:space="preserve"> </w:t>
      </w:r>
      <w:r>
        <w:rPr>
          <w:rFonts w:hint="eastAsia" w:ascii="宋体" w:hAnsi="宋体" w:cs="宋体"/>
          <w:color w:val="000000"/>
          <w:kern w:val="0"/>
          <w:szCs w:val="21"/>
          <w:lang w:val="en-US" w:eastAsia="zh-CN"/>
        </w:rPr>
        <w:t xml:space="preserve">   </w:t>
      </w:r>
      <w:r>
        <w:rPr>
          <w:rFonts w:ascii="宋体" w:hAnsi="宋体" w:cs="宋体"/>
          <w:color w:val="000000"/>
          <w:kern w:val="0"/>
          <w:szCs w:val="21"/>
        </w:rPr>
        <w:t>2.</w:t>
      </w:r>
      <w:r>
        <w:rPr>
          <w:rFonts w:hint="eastAsia" w:ascii="宋体" w:hAnsi="宋体" w:cs="宋体"/>
          <w:color w:val="000000"/>
          <w:kern w:val="0"/>
          <w:szCs w:val="21"/>
        </w:rPr>
        <w:t>本部门本年度无相关收入支出情况，按要求空表列示。</w:t>
      </w:r>
      <w:r>
        <w:rPr>
          <w:rFonts w:ascii="宋体" w:hAnsi="宋体" w:cs="宋体"/>
          <w:color w:val="000000"/>
          <w:kern w:val="0"/>
          <w:szCs w:val="21"/>
        </w:rPr>
        <w:t xml:space="preserve">  </w:t>
      </w:r>
      <w:r>
        <w:rPr>
          <w:rFonts w:hint="default"/>
          <w:lang w:val="en-US" w:eastAsia="zh-CN"/>
        </w:rPr>
        <w:br w:type="page"/>
      </w:r>
    </w:p>
    <w:p>
      <w:pPr>
        <w:bidi w:val="0"/>
        <w:jc w:val="both"/>
        <w:rPr>
          <w:rFonts w:hint="default"/>
          <w:lang w:val="en-US" w:eastAsia="zh-CN"/>
        </w:rPr>
      </w:pPr>
      <w:r>
        <w:rPr>
          <w:sz w:val="21"/>
        </w:rPr>
        <mc:AlternateContent>
          <mc:Choice Requires="wps">
            <w:drawing>
              <wp:anchor distT="0" distB="0" distL="114300" distR="114300" simplePos="0" relativeHeight="251672576" behindDoc="0" locked="0" layoutInCell="1" allowOverlap="1">
                <wp:simplePos x="0" y="0"/>
                <wp:positionH relativeFrom="column">
                  <wp:posOffset>-895350</wp:posOffset>
                </wp:positionH>
                <wp:positionV relativeFrom="paragraph">
                  <wp:posOffset>-1082675</wp:posOffset>
                </wp:positionV>
                <wp:extent cx="7557770" cy="10682605"/>
                <wp:effectExtent l="0" t="0" r="5080" b="4445"/>
                <wp:wrapNone/>
                <wp:docPr id="40" name="矩形 40"/>
                <wp:cNvGraphicFramePr/>
                <a:graphic xmlns:a="http://schemas.openxmlformats.org/drawingml/2006/main">
                  <a:graphicData uri="http://schemas.microsoft.com/office/word/2010/wordprocessingShape">
                    <wps:wsp>
                      <wps:cNvSpPr/>
                      <wps:spPr>
                        <a:xfrm>
                          <a:off x="937895" y="1169035"/>
                          <a:ext cx="7557770" cy="1068260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5pt;margin-top:-85.25pt;height:841.15pt;width:595.1pt;z-index:251672576;v-text-anchor:middle;mso-width-relative:page;mso-height-relative:page;" fillcolor="#FFC000" filled="t" stroked="f" coordsize="21600,21600" o:gfxdata="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gm8tf3QAAAA8BAAAPAAAAAAAAAAEAIAAA&#10;ACIAAABkcnMvZG93bnJldi54bWxQSwECFAAUAAAACACHTuJACmAlp3kCAADaBAAADgAAAAAAAAAB&#10;ACAAAAAsAQAAZHJzL2Uyb0RvYy54bWxQSwUGAAAAAAYABgBZAQAAFwYAAAAA&#10;">
                <v:fill on="t" focussize="0,0"/>
                <v:stroke on="f" weight="1pt" miterlimit="8" joinstyle="miter"/>
                <v:imagedata o:title=""/>
                <o:lock v:ext="edit" aspectratio="f"/>
              </v:rect>
            </w:pict>
          </mc:Fallback>
        </mc:AlternateContent>
      </w:r>
    </w:p>
    <w:sectPr>
      <w:headerReference r:id="rId19" w:type="first"/>
      <w:headerReference r:id="rId18" w:type="default"/>
      <w:footerReference r:id="rId20" w:type="default"/>
      <w:pgSz w:w="11906" w:h="16838"/>
      <w:pgMar w:top="1701" w:right="1417" w:bottom="1281" w:left="1417"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Yu Gothic UI Semibold">
    <w:panose1 w:val="020B0700000000000000"/>
    <w:charset w:val="80"/>
    <w:family w:val="swiss"/>
    <w:pitch w:val="default"/>
    <w:sig w:usb0="E00002FF" w:usb1="2AC7FDFF" w:usb2="00000016" w:usb3="00000000" w:csb0="2002009F" w:csb1="00000000"/>
  </w:font>
  <w:font w:name="思源黑体 HW Bold">
    <w:altName w:val="黑体"/>
    <w:panose1 w:val="020B0800000000000000"/>
    <w:charset w:val="86"/>
    <w:family w:val="swiss"/>
    <w:pitch w:val="default"/>
    <w:sig w:usb0="00000000" w:usb1="00000000" w:usb2="00000016" w:usb3="00000000" w:csb0="002E0107" w:csb1="00000000"/>
  </w:font>
  <w:font w:name="微软雅黑">
    <w:panose1 w:val="020B0503020204020204"/>
    <w:charset w:val="86"/>
    <w:family w:val="auto"/>
    <w:pitch w:val="default"/>
    <w:sig w:usb0="80000287" w:usb1="2ACF3C50" w:usb2="00000016" w:usb3="00000000" w:csb0="0004001F" w:csb1="00000000"/>
  </w:font>
  <w:font w:name="ArialUnicodeMS">
    <w:altName w:val="Malgun Gothic"/>
    <w:panose1 w:val="00000000000000000000"/>
    <w:charset w:val="81"/>
    <w:family w:val="auto"/>
    <w:pitch w:val="default"/>
    <w:sig w:usb0="00000000" w:usb1="00000000" w:usb2="00000010" w:usb3="00000000" w:csb0="00080001" w:csb1="00000000"/>
  </w:font>
  <w:font w:name="Malgun Gothic">
    <w:panose1 w:val="020B0503020000020004"/>
    <w:charset w:val="81"/>
    <w:family w:val="auto"/>
    <w:pitch w:val="default"/>
    <w:sig w:usb0="9000002F" w:usb1="29D77CFB" w:usb2="00000012" w:usb3="00000000" w:csb0="00080001" w:csb1="00000000"/>
  </w:font>
  <w:font w:name="Cambria">
    <w:panose1 w:val="02040503050406030204"/>
    <w:charset w:val="00"/>
    <w:family w:val="roman"/>
    <w:pitch w:val="default"/>
    <w:sig w:usb0="E00006FF" w:usb1="420024FF" w:usb2="02000000" w:usb3="00000000" w:csb0="2000019F" w:csb1="00000000"/>
  </w:font>
  <w:font w:name="DengXian-Regular">
    <w:altName w:val="宋体"/>
    <w:panose1 w:val="00000000000000000000"/>
    <w:charset w:val="86"/>
    <w:family w:val="auto"/>
    <w:pitch w:val="default"/>
    <w:sig w:usb0="00000000" w:usb1="00000000" w:usb2="00000010" w:usb3="00000000" w:csb0="00040001" w:csb1="00000000"/>
  </w:font>
  <w:font w:name="DengXian-Bold">
    <w:altName w:val="宋体"/>
    <w:panose1 w:val="00000000000000000000"/>
    <w:charset w:val="86"/>
    <w:family w:val="auto"/>
    <w:pitch w:val="default"/>
    <w:sig w:usb0="00000000" w:usb1="00000000" w:usb2="00000010" w:usb3="00000000" w:csb0="00040001" w:csb1="00000000"/>
  </w:font>
  <w:font w:name="TimesNewRomanPSMT">
    <w:altName w:val="Arial"/>
    <w:panose1 w:val="00000000000000000000"/>
    <w:charset w:val="00"/>
    <w:family w:val="swiss"/>
    <w:pitch w:val="default"/>
    <w:sig w:usb0="00000000" w:usb1="00000000" w:usb2="00000000" w:usb3="00000000" w:csb0="00000001" w:csb1="00000000"/>
  </w:font>
  <w:font w:name="MS-UIGothic,Bold">
    <w:altName w:val="Malgun Gothic"/>
    <w:panose1 w:val="00000000000000000000"/>
    <w:charset w:val="81"/>
    <w:family w:val="auto"/>
    <w:pitch w:val="default"/>
    <w:sig w:usb0="00000000" w:usb1="0000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87936" behindDoc="0" locked="0" layoutInCell="1" allowOverlap="1">
              <wp:simplePos x="0" y="0"/>
              <wp:positionH relativeFrom="margin">
                <wp:posOffset>2662555</wp:posOffset>
              </wp:positionH>
              <wp:positionV relativeFrom="paragraph">
                <wp:posOffset>-164465</wp:posOffset>
              </wp:positionV>
              <wp:extent cx="388620" cy="181610"/>
              <wp:effectExtent l="0" t="0" r="0" b="0"/>
              <wp:wrapNone/>
              <wp:docPr id="2" name="文本框 2"/>
              <wp:cNvGraphicFramePr/>
              <a:graphic xmlns:a="http://schemas.openxmlformats.org/drawingml/2006/main">
                <a:graphicData uri="http://schemas.microsoft.com/office/word/2010/wordprocessingShape">
                  <wps:wsp>
                    <wps:cNvSpPr txBox="1"/>
                    <wps:spPr>
                      <a:xfrm>
                        <a:off x="0" y="0"/>
                        <a:ext cx="388620" cy="181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jc w:val="center"/>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6</w:t>
                          </w:r>
                          <w:r>
                            <w:rPr>
                              <w:rFonts w:hint="default" w:ascii="Times New Roman" w:hAnsi="Times New Roman" w:cs="Times New Roman"/>
                              <w:sz w:val="24"/>
                              <w:szCs w:val="24"/>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9.65pt;margin-top:-12.95pt;height:14.3pt;width:30.6pt;mso-position-horizontal-relative:margin;z-index:251687936;mso-width-relative:page;mso-height-relative:page;" filled="f" stroked="f" coordsize="21600,21600" o:gfxdata="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PlHE/2QAAAAkBAAAPAAAAAAAAAAEAIAAAACIAAABkcnMvZG93bnJl&#10;di54bWxQSwECFAAUAAAACACHTuJAOPvX+TUCAABhBAAADgAAAAAAAAABACAAAAAoAQAAZHJzL2Uy&#10;b0RvYy54bWxQSwUGAAAAAAYABgBZAQAAzwUAAAAA&#10;">
              <v:fill on="f" focussize="0,0"/>
              <v:stroke on="f" weight="0.5pt"/>
              <v:imagedata o:title=""/>
              <o:lock v:ext="edit" aspectratio="f"/>
              <v:textbox inset="0mm,0mm,0mm,0mm">
                <w:txbxContent>
                  <w:p>
                    <w:pPr>
                      <w:pStyle w:val="4"/>
                      <w:jc w:val="center"/>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6</w:t>
                    </w:r>
                    <w:r>
                      <w:rPr>
                        <w:rFonts w:hint="default" w:ascii="Times New Roman" w:hAnsi="Times New Roman" w:cs="Times New Roman"/>
                        <w:sz w:val="24"/>
                        <w:szCs w:val="24"/>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88960" behindDoc="0" locked="0" layoutInCell="1" allowOverlap="1">
              <wp:simplePos x="0" y="0"/>
              <wp:positionH relativeFrom="margin">
                <wp:posOffset>2623185</wp:posOffset>
              </wp:positionH>
              <wp:positionV relativeFrom="paragraph">
                <wp:posOffset>-285115</wp:posOffset>
              </wp:positionV>
              <wp:extent cx="431800" cy="446405"/>
              <wp:effectExtent l="0" t="0" r="0" b="0"/>
              <wp:wrapNone/>
              <wp:docPr id="3" name="文本框 3"/>
              <wp:cNvGraphicFramePr/>
              <a:graphic xmlns:a="http://schemas.openxmlformats.org/drawingml/2006/main">
                <a:graphicData uri="http://schemas.microsoft.com/office/word/2010/wordprocessingShape">
                  <wps:wsp>
                    <wps:cNvSpPr txBox="1"/>
                    <wps:spPr>
                      <a:xfrm>
                        <a:off x="0" y="0"/>
                        <a:ext cx="431800" cy="446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jc w:val="center"/>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1</w:t>
                          </w:r>
                          <w:r>
                            <w:rPr>
                              <w:rFonts w:hint="default" w:ascii="Times New Roman" w:hAnsi="Times New Roman" w:cs="Times New Roman"/>
                              <w:sz w:val="24"/>
                              <w:szCs w:val="24"/>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6.55pt;margin-top:-22.45pt;height:35.15pt;width:34pt;mso-position-horizontal-relative:margin;z-index:251688960;mso-width-relative:page;mso-height-relative:page;" filled="f" stroked="f" coordsize="21600,21600" o:gfxdata="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F1c372QAAAAoBAAAPAAAAAAAAAAEAIAAAACIAAABkcnMvZG93&#10;bnJldi54bWxQSwECFAAUAAAACACHTuJA9IZ3pDgCAABhBAAADgAAAAAAAAABACAAAAAoAQAAZHJz&#10;L2Uyb0RvYy54bWxQSwUGAAAAAAYABgBZAQAA0gUAAAAA&#10;">
              <v:fill on="f" focussize="0,0"/>
              <v:stroke on="f" weight="0.5pt"/>
              <v:imagedata o:title=""/>
              <o:lock v:ext="edit" aspectratio="f"/>
              <v:textbox inset="0mm,0mm,0mm,0mm">
                <w:txbxContent>
                  <w:p>
                    <w:pPr>
                      <w:pStyle w:val="4"/>
                      <w:jc w:val="center"/>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1</w:t>
                    </w:r>
                    <w:r>
                      <w:rPr>
                        <w:rFonts w:hint="default" w:ascii="Times New Roman" w:hAnsi="Times New Roman" w:cs="Times New Roman"/>
                        <w:sz w:val="24"/>
                        <w:szCs w:val="24"/>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89984" behindDoc="0" locked="0" layoutInCell="1" allowOverlap="1">
              <wp:simplePos x="0" y="0"/>
              <wp:positionH relativeFrom="margin">
                <wp:posOffset>2656205</wp:posOffset>
              </wp:positionH>
              <wp:positionV relativeFrom="paragraph">
                <wp:posOffset>-76200</wp:posOffset>
              </wp:positionV>
              <wp:extent cx="1828800" cy="23749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237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14</w:t>
                          </w:r>
                          <w:r>
                            <w:rPr>
                              <w:rFonts w:hint="default" w:ascii="Times New Roman" w:hAnsi="Times New Roman" w:cs="Times New Roman"/>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9.15pt;margin-top:-6pt;height:18.7pt;width:144pt;mso-position-horizontal-relative:margin;mso-wrap-style:none;z-index:251689984;mso-width-relative:page;mso-height-relative:page;" filled="f" stroked="f" coordsize="21600,21600" o:gfxdata="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fd/c9kAAAAKAQAADwAAAAAAAAABACAAAAAiAAAAZHJzL2Rvd25y&#10;ZXYueG1sUEsBAhQAFAAAAAgAh07iQPFG5/42AgAAYAQAAA4AAAAAAAAAAQAgAAAAKAEAAGRycy9l&#10;Mm9Eb2MueG1sUEsFBgAAAAAGAAYAWQEAANAFAAAAAA==&#10;">
              <v:fill on="f" focussize="0,0"/>
              <v:stroke on="f" weight="0.5pt"/>
              <v:imagedata o:title=""/>
              <o:lock v:ext="edit" aspectratio="f"/>
              <v:textbox inset="0mm,0mm,0mm,0mm">
                <w:txbxContent>
                  <w:p>
                    <w:pPr>
                      <w:pStyle w:val="4"/>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14</w:t>
                    </w:r>
                    <w:r>
                      <w:rPr>
                        <w:rFonts w:hint="default" w:ascii="Times New Roman" w:hAnsi="Times New Roman" w:cs="Times New Roman"/>
                        <w:sz w:val="24"/>
                        <w:szCs w:val="24"/>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91008" behindDoc="0" locked="0" layoutInCell="1" allowOverlap="1">
              <wp:simplePos x="0" y="0"/>
              <wp:positionH relativeFrom="margin">
                <wp:posOffset>2609215</wp:posOffset>
              </wp:positionH>
              <wp:positionV relativeFrom="paragraph">
                <wp:posOffset>-238125</wp:posOffset>
              </wp:positionV>
              <wp:extent cx="382905" cy="39941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382905"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13</w:t>
                          </w:r>
                          <w:r>
                            <w:rPr>
                              <w:rFonts w:hint="default" w:ascii="Times New Roman" w:hAnsi="Times New Roman" w:cs="Times New Roman"/>
                              <w:sz w:val="24"/>
                              <w:szCs w:val="24"/>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5.45pt;margin-top:-18.75pt;height:31.45pt;width:30.15pt;mso-position-horizontal-relative:margin;z-index:251691008;mso-width-relative:page;mso-height-relative:page;" filled="f" stroked="f" coordsize="21600,21600" o:gfxdata="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4paM2gAAAAoBAAAPAAAAAAAAAAEAIAAAACIAAABkcnMv&#10;ZG93bnJldi54bWxQSwECFAAUAAAACACHTuJAIpLgBToCAABjBAAADgAAAAAAAAABACAAAAApAQAA&#10;ZHJzL2Uyb0RvYy54bWxQSwUGAAAAAAYABgBZAQAA1QUAAAAA&#10;">
              <v:fill on="f" focussize="0,0"/>
              <v:stroke on="f" weight="0.5pt"/>
              <v:imagedata o:title=""/>
              <o:lock v:ext="edit" aspectratio="f"/>
              <v:textbox inset="0mm,0mm,0mm,0mm">
                <w:txbxContent>
                  <w:p>
                    <w:pPr>
                      <w:pStyle w:val="4"/>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13</w:t>
                    </w:r>
                    <w:r>
                      <w:rPr>
                        <w:rFonts w:hint="default" w:ascii="Times New Roman" w:hAnsi="Times New Roman" w:cs="Times New Roman"/>
                        <w:sz w:val="24"/>
                        <w:szCs w:val="24"/>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94080" behindDoc="0" locked="0" layoutInCell="1" allowOverlap="1">
              <wp:simplePos x="0" y="0"/>
              <wp:positionH relativeFrom="margin">
                <wp:posOffset>2656205</wp:posOffset>
              </wp:positionH>
              <wp:positionV relativeFrom="paragraph">
                <wp:posOffset>-76200</wp:posOffset>
              </wp:positionV>
              <wp:extent cx="1828800" cy="23749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237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14</w:t>
                          </w:r>
                          <w:r>
                            <w:rPr>
                              <w:rFonts w:hint="default" w:ascii="Times New Roman" w:hAnsi="Times New Roman" w:cs="Times New Roman"/>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9.15pt;margin-top:-6pt;height:18.7pt;width:144pt;mso-position-horizontal-relative:margin;mso-wrap-style:none;z-index:251694080;mso-width-relative:page;mso-height-relative:page;" filled="f" stroked="f" coordsize="21600,21600" o:gfxdata="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fd/c9kAAAAKAQAADwAAAAAAAAABACAAAAAiAAAAZHJzL2Rvd25y&#10;ZXYueG1sUEsBAhQAFAAAAAgAh07iQCSEgzY2AgAAYgQAAA4AAAAAAAAAAQAgAAAAKAEAAGRycy9l&#10;Mm9Eb2MueG1sUEsFBgAAAAAGAAYAWQEAANAFAAAAAA==&#10;">
              <v:fill on="f" focussize="0,0"/>
              <v:stroke on="f" weight="0.5pt"/>
              <v:imagedata o:title=""/>
              <o:lock v:ext="edit" aspectratio="f"/>
              <v:textbox inset="0mm,0mm,0mm,0mm">
                <w:txbxContent>
                  <w:p>
                    <w:pPr>
                      <w:pStyle w:val="4"/>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14</w:t>
                    </w:r>
                    <w:r>
                      <w:rPr>
                        <w:rFonts w:hint="default" w:ascii="Times New Roman" w:hAnsi="Times New Roman" w:cs="Times New Roman"/>
                        <w:sz w:val="24"/>
                        <w:szCs w:val="24"/>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rPr>
        <w:sz w:val="18"/>
      </w:rPr>
      <mc:AlternateContent>
        <mc:Choice Requires="wpg">
          <w:drawing>
            <wp:anchor distT="0" distB="0" distL="114300" distR="114300" simplePos="0" relativeHeight="251674624" behindDoc="0" locked="0" layoutInCell="1" allowOverlap="1">
              <wp:simplePos x="0" y="0"/>
              <wp:positionH relativeFrom="page">
                <wp:align>left</wp:align>
              </wp:positionH>
              <wp:positionV relativeFrom="page">
                <wp:posOffset>377825</wp:posOffset>
              </wp:positionV>
              <wp:extent cx="2000250" cy="406400"/>
              <wp:effectExtent l="0" t="0" r="0" b="0"/>
              <wp:wrapNone/>
              <wp:docPr id="76" name="组合 76"/>
              <wp:cNvGraphicFramePr/>
              <a:graphic xmlns:a="http://schemas.openxmlformats.org/drawingml/2006/main">
                <a:graphicData uri="http://schemas.microsoft.com/office/word/2010/wordprocessingGroup">
                  <wpg:wgp>
                    <wpg:cNvGrpSpPr/>
                    <wpg:grpSpPr>
                      <a:xfrm>
                        <a:off x="0" y="0"/>
                        <a:ext cx="2000250" cy="406400"/>
                        <a:chOff x="1337" y="880"/>
                        <a:chExt cx="3150" cy="640"/>
                      </a:xfrm>
                    </wpg:grpSpPr>
                    <wps:wsp>
                      <wps:cNvPr id="77"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sz w:val="28"/>
                                <w:szCs w:val="36"/>
                                <w:lang w:val="en-US" w:eastAsia="zh-CN"/>
                              </w:rPr>
                            </w:pPr>
                            <w:r>
                              <w:rPr>
                                <w:rFonts w:hint="eastAsia" w:ascii="微软雅黑" w:hAnsi="微软雅黑" w:eastAsia="微软雅黑" w:cs="微软雅黑"/>
                                <w:b/>
                                <w:bCs/>
                                <w:sz w:val="28"/>
                                <w:szCs w:val="36"/>
                                <w:lang w:val="en-US" w:eastAsia="zh-CN"/>
                              </w:rPr>
                              <w:t>20XX 企业业务制定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top:29.75pt;height:32pt;width:157.5pt;mso-position-horizontal:left;mso-position-horizontal-relative:page;mso-position-vertical-relative:page;z-index:251674624;mso-width-relative:page;mso-height-relative:page;" coordorigin="1337,880" coordsize="3150,640" o:gfxdata="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OzG97nXAAAABwEAAA8AAAAAAAAAAQAgAAAAIgAAAGRycy9kb3ducmV2LnhtbFBLAQIUABQAAAAI&#10;AIdO4kBK9U6LRAMAAIMIAAAOAAAAAAAAAAEAIAAAACYBAABkcnMvZTJvRG9jLnhtbFBLBQYAAAAA&#10;BgAGAFkBAADcBgAAAAA=&#10;">
              <o:lock v:ext="edit" aspectratio="f"/>
              <v:shape id="文本框 6" o:spid="_x0000_s1026" o:spt="202" type="#_x0000_t202" style="position:absolute;left:1401;top:880;height:641;width:3087;" filled="f" stroked="f" coordsize="21600,21600" o:gfxdata="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SNFS/&#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微软雅黑" w:hAnsi="微软雅黑" w:eastAsia="微软雅黑" w:cs="微软雅黑"/>
                          <w:b/>
                          <w:bCs/>
                          <w:sz w:val="28"/>
                          <w:szCs w:val="36"/>
                          <w:lang w:val="en-US" w:eastAsia="zh-CN"/>
                        </w:rPr>
                      </w:pPr>
                      <w:r>
                        <w:rPr>
                          <w:rFonts w:hint="eastAsia" w:ascii="微软雅黑" w:hAnsi="微软雅黑" w:eastAsia="微软雅黑" w:cs="微软雅黑"/>
                          <w:b/>
                          <w:bCs/>
                          <w:sz w:val="28"/>
                          <w:szCs w:val="36"/>
                          <w:lang w:val="en-US" w:eastAsia="zh-CN"/>
                        </w:rPr>
                        <w:t>20XX 企业业务制定</w:t>
                      </w:r>
                    </w:p>
                  </w:txbxContent>
                </v:textbox>
              </v:shape>
              <v:rect id="矩形 7" o:spid="_x0000_s1026" o:spt="1" style="position:absolute;left:1337;top:1044;height:330;width:119;v-text-anchor:middle;" fillcolor="#000000 [3213]" filled="t" stroked="f" coordsize="21600,21600" o:gfxdata="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9Lg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r>
      <w:rPr>
        <w:sz w:val="18"/>
      </w:rPr>
      <mc:AlternateContent>
        <mc:Choice Requires="wpg">
          <w:drawing>
            <wp:anchor distT="0" distB="0" distL="114300" distR="114300" simplePos="0" relativeHeight="251673600" behindDoc="0" locked="0" layoutInCell="1" allowOverlap="1">
              <wp:simplePos x="0" y="0"/>
              <wp:positionH relativeFrom="page">
                <wp:align>center</wp:align>
              </wp:positionH>
              <wp:positionV relativeFrom="topMargin">
                <wp:align>bottom</wp:align>
              </wp:positionV>
              <wp:extent cx="7575550" cy="748665"/>
              <wp:effectExtent l="0" t="0" r="6350" b="13335"/>
              <wp:wrapNone/>
              <wp:docPr id="79" name="组合 79"/>
              <wp:cNvGraphicFramePr/>
              <a:graphic xmlns:a="http://schemas.openxmlformats.org/drawingml/2006/main">
                <a:graphicData uri="http://schemas.microsoft.com/office/word/2010/wordprocessingGroup">
                  <wpg:wgp>
                    <wpg:cNvGrpSpPr/>
                    <wpg:grpSpPr>
                      <a:xfrm>
                        <a:off x="0" y="0"/>
                        <a:ext cx="7575550" cy="748665"/>
                        <a:chOff x="881" y="505"/>
                        <a:chExt cx="11930" cy="1179"/>
                      </a:xfrm>
                    </wpg:grpSpPr>
                    <wps:wsp>
                      <wps:cNvPr id="80"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2" name="任意多边形 4"/>
                      <wps:cNvSpPr/>
                      <wps:spPr>
                        <a:xfrm>
                          <a:off x="10467" y="505"/>
                          <a:ext cx="2345" cy="1108"/>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100000</wp14:pctWidth>
              </wp14:sizeRelH>
              <wp14:sizeRelV relativeFrom="page">
                <wp14:pctHeight>0</wp14:pctHeight>
              </wp14:sizeRelV>
            </wp:anchor>
          </w:drawing>
        </mc:Choice>
        <mc:Fallback>
          <w:pict>
            <v:group id="_x0000_s1026" o:spid="_x0000_s1026" o:spt="203" style="position:absolute;left:0pt;margin-left:0pt;margin-top:0pt;height:58.95pt;width:596.5pt;mso-position-horizontal-relative:page;mso-position-vertical-relative:page;z-index:251673600;mso-width-relative:page;mso-height-relative:page;mso-width-percent:1000;" coordorigin="881,505" coordsize="11930,1179"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">
              <o:lock v:ext="edit" aspectratio="f"/>
              <v:rect id="矩形 2" o:spid="_x0000_s1026" o:spt="1" style="position:absolute;left:881;top:1538;height:146;width:11925;v-text-anchor:middle;" fillcolor="#FFD966 [1943]" filled="t" stroked="f" coordsize="21600,21600" o:gfxdata="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m1JZW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AUUeGr4AAADb&#10;AAAADwAAAGRycy9kb3ducmV2LnhtbEWP3WrCQBSE7wu+w3IE7+omIjVGVxF/qFf1Lw9wyB6TaPZs&#10;yG6NfXu3UOjlMDPfMPPl09TiQa2rLCuIhxEI4tzqigsF2WX3noBwHlljbZkU/JCD5aL3NsdU245P&#10;9Dj7QgQIuxQVlN43qZQuL8mgG9qGOHhX2xr0QbaF1C12AW5qOYqiD2mw4rBQYkPrkvL7+dsoWH0d&#10;prtjnmRFfZl02fa2mYw/b0oN+nE0A+Hp6f/Df+29VpDE8Psl/AC5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UeGr4A&#10;AADbAAAADwAAAAAAAAABACAAAAAiAAAAZHJzL2Rvd25yZXYueG1sUEsBAhQAFAAAAAgAh07iQDMv&#10;BZ47AAAAOQAAABAAAAAAAAAAAQAgAAAADQEAAGRycy9zaGFwZXhtbC54bWxQSwUGAAAAAAYABgBb&#10;AQAAtwM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8;width:2345;v-text-anchor:middle;" fillcolor="#FFD966 [1943]" filled="t" stroked="f" coordsize="2619,1265" o:gfxdata="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SIdy8AAAA&#10;2wAAAA8AAAAAAAAAAQAgAAAAIgAAAGRycy9kb3ducmV2LnhtbFBLAQIUABQAAAAIAIdO4kAzLwWe&#10;OwAAADkAAAAQAAAAAAAAAAEAIAAAAAsBAABkcnMvc2hhcGV4bWwueG1sUEsFBgAAAAAGAAYAWwEA&#10;ALUDAAAAAA==&#10;" path="m668,0l2619,10,2619,1265,0,1265,668,0xe">
                <v:path o:connectlocs="598,0;2345,8;2345,1108;0,1108;598,0" o:connectangles="0,0,0,0,0"/>
                <v:fill on="t" focussize="0,0"/>
                <v:stroke on="f" weight="1pt" miterlimit="8" joinstyle="miter"/>
                <v:imagedata o:title=""/>
                <o:lock v:ext="edit" aspectratio="f"/>
              </v:shap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rPr>
        <w:sz w:val="18"/>
      </w:rPr>
      <mc:AlternateContent>
        <mc:Choice Requires="wpg">
          <w:drawing>
            <wp:anchor distT="0" distB="0" distL="114300" distR="114300" simplePos="0" relativeHeight="251695104" behindDoc="0" locked="0" layoutInCell="1" allowOverlap="1">
              <wp:simplePos x="0" y="0"/>
              <wp:positionH relativeFrom="page">
                <wp:posOffset>31750</wp:posOffset>
              </wp:positionH>
              <wp:positionV relativeFrom="topMargin">
                <wp:posOffset>365125</wp:posOffset>
              </wp:positionV>
              <wp:extent cx="7553960" cy="447675"/>
              <wp:effectExtent l="0" t="0" r="8890" b="9525"/>
              <wp:wrapNone/>
              <wp:docPr id="49" name="组合 49"/>
              <wp:cNvGraphicFramePr/>
              <a:graphic xmlns:a="http://schemas.openxmlformats.org/drawingml/2006/main">
                <a:graphicData uri="http://schemas.microsoft.com/office/word/2010/wordprocessingGroup">
                  <wpg:wgp>
                    <wpg:cNvGrpSpPr/>
                    <wpg:grpSpPr>
                      <a:xfrm>
                        <a:off x="0" y="0"/>
                        <a:ext cx="7553960" cy="447675"/>
                        <a:chOff x="881" y="505"/>
                        <a:chExt cx="11930" cy="1179"/>
                      </a:xfrm>
                    </wpg:grpSpPr>
                    <wps:wsp>
                      <wps:cNvPr id="50"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任意多边形 4"/>
                      <wps:cNvSpPr/>
                      <wps:spPr>
                        <a:xfrm>
                          <a:off x="10467" y="505"/>
                          <a:ext cx="2345" cy="1108"/>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5pt;margin-top:28.75pt;height:35.25pt;width:594.8pt;mso-position-horizontal-relative:page;mso-position-vertical-relative:page;z-index:251695104;mso-width-relative:page;mso-height-relative:page;" coordorigin="881,505" coordsize="11930,1179" o:gfxdata="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">
              <o:lock v:ext="edit" aspectratio="f"/>
              <v:rect id="矩形 2" o:spid="_x0000_s1026" o:spt="1" style="position:absolute;left:881;top:1538;height:146;width:11925;v-text-anchor:middle;" fillcolor="#FFD966 [1943]" filled="t" stroked="f" coordsize="21600,21600" o:gfxdata="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fVCdK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fyUyXb4AAADb&#10;AAAADwAAAGRycy9kb3ducmV2LnhtbEWPzW7CMBCE70h9B2srcQMnFb8Bgyp+BCfaQh5gFW+T0Hgd&#10;xYbA22MkpB5HM/ONZr68mUpcqXGlZQVxPwJBnFldcq4gPW17ExDOI2usLJOCOzlYLt46c0y0bfmH&#10;rkefiwBhl6CCwvs6kdJlBRl0fVsTB+/XNgZ9kE0udYNtgJtKfkTRSBosOSwUWNOqoOzveDEKPg9f&#10;0+13Nknz6jRu0815PR7szkp13+NoBsLTzf+HX+29VjCM4fkl/A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UyXb4A&#10;AADbAAAADwAAAAAAAAABACAAAAAiAAAAZHJzL2Rvd25yZXYueG1sUEsBAhQAFAAAAAgAh07iQDMv&#10;BZ47AAAAOQAAABAAAAAAAAAAAQAgAAAADQEAAGRycy9zaGFwZXhtbC54bWxQSwUGAAAAAAYABgBb&#10;AQAAtwM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8;width:2345;v-text-anchor:middle;" fillcolor="#FFD966 [1943]" filled="t" stroked="f" coordsize="2619,1265" o:gfxdata="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yDZu8AAAA&#10;2wAAAA8AAAAAAAAAAQAgAAAAIgAAAGRycy9kb3ducmV2LnhtbFBLAQIUABQAAAAIAIdO4kAzLwWe&#10;OwAAADkAAAAQAAAAAAAAAAEAIAAAAAsBAABkcnMvc2hhcGV4bWwueG1sUEsFBgAAAAAGAAYAWwEA&#10;ALUDAAAAAA==&#10;" path="m668,0l2619,10,2619,1265,0,1265,668,0xe">
                <v:path o:connectlocs="598,0;2345,8;2345,1108;0,1108;598,0" o:connectangles="0,0,0,0,0"/>
                <v:fill on="t" focussize="0,0"/>
                <v:stroke on="f" weight="1pt" miterlimit="8" joinstyle="miter"/>
                <v:imagedata o:title=""/>
                <o:lock v:ext="edit" aspectratio="f"/>
              </v:shape>
            </v:group>
          </w:pict>
        </mc:Fallback>
      </mc:AlternateContent>
    </w:r>
    <w:r>
      <w:rPr>
        <w:sz w:val="18"/>
      </w:rPr>
      <mc:AlternateContent>
        <mc:Choice Requires="wpg">
          <w:drawing>
            <wp:anchor distT="0" distB="0" distL="114300" distR="114300" simplePos="0" relativeHeight="251696128" behindDoc="0" locked="0" layoutInCell="1" allowOverlap="1">
              <wp:simplePos x="0" y="0"/>
              <wp:positionH relativeFrom="page">
                <wp:posOffset>0</wp:posOffset>
              </wp:positionH>
              <wp:positionV relativeFrom="page">
                <wp:posOffset>377825</wp:posOffset>
              </wp:positionV>
              <wp:extent cx="3556000" cy="406400"/>
              <wp:effectExtent l="0" t="0" r="0" b="0"/>
              <wp:wrapNone/>
              <wp:docPr id="46" name="组合 46"/>
              <wp:cNvGraphicFramePr/>
              <a:graphic xmlns:a="http://schemas.openxmlformats.org/drawingml/2006/main">
                <a:graphicData uri="http://schemas.microsoft.com/office/word/2010/wordprocessingGroup">
                  <wpg:wgp>
                    <wpg:cNvGrpSpPr/>
                    <wpg:grpSpPr>
                      <a:xfrm>
                        <a:off x="0" y="0"/>
                        <a:ext cx="3556000" cy="406400"/>
                        <a:chOff x="1337" y="880"/>
                        <a:chExt cx="3150" cy="640"/>
                      </a:xfrm>
                    </wpg:grpSpPr>
                    <wps:wsp>
                      <wps:cNvPr id="47"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第四部分 2019年度部门决算报表</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pt;margin-top:29.75pt;height:32pt;width:280pt;mso-position-horizontal-relative:page;mso-position-vertical-relative:page;z-index:251696128;mso-width-relative:page;mso-height-relative:page;" coordorigin="1337,880" coordsize="3150,640" o:gfxdata="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x6bs&#10;HtcAAAAHAQAADwAAAAAAAAABACAAAAAiAAAAZHJzL2Rvd25yZXYueG1sUEsBAhQAFAAAAAgAh07i&#10;QIdzBYlAAwAAgwgAAA4AAAAAAAAAAQAgAAAAJgEAAGRycy9lMm9Eb2MueG1sUEsFBgAAAAAGAAYA&#10;WQEAANgGAAAAAA==&#10;">
              <o:lock v:ext="edit" aspectratio="f"/>
              <v:shape id="文本框 6" o:spid="_x0000_s1026" o:spt="202" type="#_x0000_t202" style="position:absolute;left:1401;top:880;height:641;width:3087;" filled="f" stroked="f" coordsize="21600,21600" o:gfxdata="UEsDBAoAAAAAAIdO4kAAAAAAAAAAAAAAAAAEAAAAZHJzL1BLAwQUAAAACACHTuJAV37+6b4AAADb&#10;AAAADwAAAGRycy9kb3ducmV2LnhtbEWPT4vCMBTE78J+h/AWvGmqqF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7+6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第四部分 2019年度部门决算报表</w:t>
                      </w:r>
                    </w:p>
                    <w:p>
                      <w:pPr>
                        <w:rPr>
                          <w:rFonts w:hint="eastAsia"/>
                          <w:lang w:val="en-US" w:eastAsia="zh-CN"/>
                        </w:rPr>
                      </w:pPr>
                    </w:p>
                  </w:txbxContent>
                </v:textbox>
              </v:shape>
              <v:rect id="矩形 7" o:spid="_x0000_s1026" o:spt="1" style="position:absolute;left:1337;top:1044;height:330;width:119;v-text-anchor:middle;" fillcolor="#000000 [3213]" filled="t" stroked="f" coordsize="21600,21600" o:gfxdata="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fGF2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rPr>
        <w:sz w:val="18"/>
      </w:rPr>
      <mc:AlternateContent>
        <mc:Choice Requires="wpg">
          <w:drawing>
            <wp:anchor distT="0" distB="0" distL="114300" distR="114300" simplePos="0" relativeHeight="251692032" behindDoc="0" locked="0" layoutInCell="1" allowOverlap="1">
              <wp:simplePos x="0" y="0"/>
              <wp:positionH relativeFrom="page">
                <wp:posOffset>9525</wp:posOffset>
              </wp:positionH>
              <wp:positionV relativeFrom="topMargin">
                <wp:posOffset>307340</wp:posOffset>
              </wp:positionV>
              <wp:extent cx="7575550" cy="483235"/>
              <wp:effectExtent l="0" t="0" r="6350" b="12065"/>
              <wp:wrapNone/>
              <wp:docPr id="19" name="组合 19"/>
              <wp:cNvGraphicFramePr/>
              <a:graphic xmlns:a="http://schemas.openxmlformats.org/drawingml/2006/main">
                <a:graphicData uri="http://schemas.microsoft.com/office/word/2010/wordprocessingGroup">
                  <wpg:wgp>
                    <wpg:cNvGrpSpPr/>
                    <wpg:grpSpPr>
                      <a:xfrm>
                        <a:off x="0" y="0"/>
                        <a:ext cx="7575550" cy="483235"/>
                        <a:chOff x="881" y="505"/>
                        <a:chExt cx="11930" cy="1179"/>
                      </a:xfrm>
                    </wpg:grpSpPr>
                    <wps:wsp>
                      <wps:cNvPr id="20"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任意多边形 4"/>
                      <wps:cNvSpPr/>
                      <wps:spPr>
                        <a:xfrm>
                          <a:off x="10467" y="505"/>
                          <a:ext cx="2345" cy="1108"/>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100000</wp14:pctWidth>
              </wp14:sizeRelH>
              <wp14:sizeRelV relativeFrom="page">
                <wp14:pctHeight>0</wp14:pctHeight>
              </wp14:sizeRelV>
            </wp:anchor>
          </w:drawing>
        </mc:Choice>
        <mc:Fallback>
          <w:pict>
            <v:group id="_x0000_s1026" o:spid="_x0000_s1026" o:spt="203" style="position:absolute;left:0pt;margin-left:0pt;margin-top:0pt;height:38.05pt;width:596.5pt;mso-position-horizontal-relative:page;mso-position-vertical-relative:page;z-index:251692032;mso-width-relative:page;mso-height-relative:page;mso-width-percent:1000;" coordorigin="881,505" coordsize="11930,1179" o:gfxdata="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">
              <o:lock v:ext="edit" aspectratio="f"/>
              <v:rect id="矩形 2" o:spid="_x0000_s1026" o:spt="1" style="position:absolute;left:881;top:1538;height:146;width:11925;v-text-anchor:middle;" fillcolor="#FFD966 [1943]" filled="t" stroked="f" coordsize="21600,21600" o:gfxdata="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Teq+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JyNBIL4AAADb&#10;AAAADwAAAGRycy9kb3ducmV2LnhtbEWPzWrDMBCE74W8g9hAbo3sEJrUjWJC2tCemj8/wGJt/BNr&#10;ZSzVdt++KhR6HGbmG2aTjqYRPXWusqwgnkcgiHOrKy4UZNfD4xqE88gaG8uk4JscpNvJwwYTbQc+&#10;U3/xhQgQdgkqKL1vEyldXpJBN7ctcfButjPog+wKqTscAtw0chFFT9JgxWGhxJb2JeX3y5dRsPs8&#10;Ph9O+TormutqyN7q19XyvVZqNo2jFxCeRv8f/mt/aAWLGH6/hB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NBIL4A&#10;AADbAAAADwAAAAAAAAABACAAAAAiAAAAZHJzL2Rvd25yZXYueG1sUEsBAhQAFAAAAAgAh07iQDMv&#10;BZ47AAAAOQAAABAAAAAAAAAAAQAgAAAADQEAAGRycy9zaGFwZXhtbC54bWxQSwUGAAAAAAYABgBb&#10;AQAAtwM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8;width:2345;v-text-anchor:middle;" fillcolor="#FFD966 [1943]" filled="t" stroked="f" coordsize="2619,1265" o:gfxdata="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5rsAAADb&#10;AAAADwAAAAAAAAABACAAAAAiAAAAZHJzL2Rvd25yZXYueG1sUEsBAhQAFAAAAAgAh07iQDMvBZ47&#10;AAAAOQAAABAAAAAAAAAAAQAgAAAACgEAAGRycy9zaGFwZXhtbC54bWxQSwUGAAAAAAYABgBbAQAA&#10;tAMAAAAA&#10;" path="m668,0l2619,10,2619,1265,0,1265,668,0xe">
                <v:path o:connectlocs="598,0;2345,8;2345,1108;0,1108;598,0" o:connectangles="0,0,0,0,0"/>
                <v:fill on="t" focussize="0,0"/>
                <v:stroke on="f" weight="1pt" miterlimit="8" joinstyle="miter"/>
                <v:imagedata o:title=""/>
                <o:lock v:ext="edit" aspectratio="f"/>
              </v:shape>
            </v:group>
          </w:pict>
        </mc:Fallback>
      </mc:AlternateContent>
    </w:r>
    <w:r>
      <w:rPr>
        <w:sz w:val="18"/>
      </w:rPr>
      <mc:AlternateContent>
        <mc:Choice Requires="wpg">
          <w:drawing>
            <wp:anchor distT="0" distB="0" distL="114300" distR="114300" simplePos="0" relativeHeight="251693056" behindDoc="0" locked="0" layoutInCell="1" allowOverlap="1">
              <wp:simplePos x="0" y="0"/>
              <wp:positionH relativeFrom="page">
                <wp:align>left</wp:align>
              </wp:positionH>
              <wp:positionV relativeFrom="page">
                <wp:posOffset>377825</wp:posOffset>
              </wp:positionV>
              <wp:extent cx="3228975" cy="406400"/>
              <wp:effectExtent l="0" t="0" r="0" b="0"/>
              <wp:wrapNone/>
              <wp:docPr id="16" name="组合 16"/>
              <wp:cNvGraphicFramePr/>
              <a:graphic xmlns:a="http://schemas.openxmlformats.org/drawingml/2006/main">
                <a:graphicData uri="http://schemas.microsoft.com/office/word/2010/wordprocessingGroup">
                  <wpg:wgp>
                    <wpg:cNvGrpSpPr/>
                    <wpg:grpSpPr>
                      <a:xfrm>
                        <a:off x="0" y="0"/>
                        <a:ext cx="3228975" cy="406400"/>
                        <a:chOff x="1337" y="880"/>
                        <a:chExt cx="3150" cy="640"/>
                      </a:xfrm>
                    </wpg:grpSpPr>
                    <wps:wsp>
                      <wps:cNvPr id="17"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bCs/>
                                <w:sz w:val="28"/>
                                <w:szCs w:val="36"/>
                                <w:lang w:val="en-US" w:eastAsia="zh-CN"/>
                              </w:rPr>
                            </w:pPr>
                            <w:r>
                              <w:rPr>
                                <w:rFonts w:hint="eastAsia" w:ascii="微软雅黑" w:hAnsi="微软雅黑" w:eastAsia="微软雅黑" w:cs="微软雅黑"/>
                                <w:b/>
                                <w:bCs/>
                                <w:sz w:val="28"/>
                                <w:szCs w:val="36"/>
                                <w:lang w:val="en-US" w:eastAsia="zh-CN"/>
                              </w:rPr>
                              <w:t>第四部分  2019年度部门决算报表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top:29.75pt;height:32pt;width:254.25pt;mso-position-horizontal:left;mso-position-horizontal-relative:page;mso-position-vertical-relative:page;z-index:251693056;mso-width-relative:page;mso-height-relative:page;" coordorigin="1337,880" coordsize="3150,640" o:gfxdata="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A8IBA+1wAAAAcBAAAPAAAAAAAAAAEAIAAAACIAAABkcnMvZG93bnJldi54bWxQSwECFAAUAAAA&#10;CACHTuJAKwudREUDAACDCAAADgAAAAAAAAABACAAAAAmAQAAZHJzL2Uyb0RvYy54bWxQSwUGAAAA&#10;AAYABgBZAQAA3QYAAAAA&#10;">
              <o:lock v:ext="edit" aspectratio="f"/>
              <v:shape id="文本框 6" o:spid="_x0000_s1026" o:spt="202" type="#_x0000_t202" style="position:absolute;left:1401;top:880;height:641;width:3087;"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ascii="微软雅黑" w:hAnsi="微软雅黑" w:eastAsia="微软雅黑" w:cs="微软雅黑"/>
                          <w:b/>
                          <w:bCs/>
                          <w:sz w:val="28"/>
                          <w:szCs w:val="36"/>
                          <w:lang w:val="en-US" w:eastAsia="zh-CN"/>
                        </w:rPr>
                      </w:pPr>
                      <w:r>
                        <w:rPr>
                          <w:rFonts w:hint="eastAsia" w:ascii="微软雅黑" w:hAnsi="微软雅黑" w:eastAsia="微软雅黑" w:cs="微软雅黑"/>
                          <w:b/>
                          <w:bCs/>
                          <w:sz w:val="28"/>
                          <w:szCs w:val="36"/>
                          <w:lang w:val="en-US" w:eastAsia="zh-CN"/>
                        </w:rPr>
                        <w:t>第四部分  2019年度部门决算报表</w:t>
                      </w:r>
                    </w:p>
                  </w:txbxContent>
                </v:textbox>
              </v:shape>
              <v:rect id="矩形 7" o:spid="_x0000_s1026" o:spt="1" style="position:absolute;left:1337;top:1044;height:330;width:119;v-text-anchor:middle;" fillcolor="#000000 [3213]" filled="t" stroked="f" coordsize="21600,21600" o:gfxdata="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sN0C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rPr>
        <w:sz w:val="18"/>
      </w:rPr>
      <mc:AlternateContent>
        <mc:Choice Requires="wpg">
          <w:drawing>
            <wp:anchor distT="0" distB="0" distL="114300" distR="114300" simplePos="0" relativeHeight="251685888" behindDoc="0" locked="0" layoutInCell="1" allowOverlap="1">
              <wp:simplePos x="0" y="0"/>
              <wp:positionH relativeFrom="page">
                <wp:posOffset>0</wp:posOffset>
              </wp:positionH>
              <wp:positionV relativeFrom="topMargin">
                <wp:posOffset>682625</wp:posOffset>
              </wp:positionV>
              <wp:extent cx="7553960" cy="400050"/>
              <wp:effectExtent l="0" t="0" r="8890" b="0"/>
              <wp:wrapNone/>
              <wp:docPr id="240" name="组合 240"/>
              <wp:cNvGraphicFramePr/>
              <a:graphic xmlns:a="http://schemas.openxmlformats.org/drawingml/2006/main">
                <a:graphicData uri="http://schemas.microsoft.com/office/word/2010/wordprocessingGroup">
                  <wpg:wgp>
                    <wpg:cNvGrpSpPr/>
                    <wpg:grpSpPr>
                      <a:xfrm>
                        <a:off x="0" y="0"/>
                        <a:ext cx="7553960" cy="400050"/>
                        <a:chOff x="881" y="505"/>
                        <a:chExt cx="11930" cy="1179"/>
                      </a:xfrm>
                    </wpg:grpSpPr>
                    <wps:wsp>
                      <wps:cNvPr id="241"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2"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3" name="任意多边形 4"/>
                      <wps:cNvSpPr/>
                      <wps:spPr>
                        <a:xfrm>
                          <a:off x="10467" y="505"/>
                          <a:ext cx="2345" cy="1108"/>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pt;margin-top:53.75pt;height:31.5pt;width:594.8pt;mso-position-horizontal-relative:page;mso-position-vertical-relative:page;z-index:251685888;mso-width-relative:page;mso-height-relative:page;" coordorigin="881,505" coordsize="11930,1179" o:gfxdata="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">
              <o:lock v:ext="edit" aspectratio="f"/>
              <v:rect id="矩形 2" o:spid="_x0000_s1026" o:spt="1" style="position:absolute;left:881;top:1538;height:146;width:11925;v-text-anchor:middle;" fillcolor="#FFD966 [1943]" filled="t" stroked="f" coordsize="21600,21600" o:gfxdata="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tT0r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d0EF1r4AAADc&#10;AAAADwAAAGRycy9kb3ducmV2LnhtbEWP0YrCMBRE34X9h3AXfNPUIupWoyy7ij6pq/2AS3Nt6zY3&#10;pYlW/94Igo/DzJxhZoubqcSVGldaVjDoRyCIM6tLzhWkx1VvAsJ5ZI2VZVJwJweL+Udnhom2Lf/R&#10;9eBzESDsElRQeF8nUrqsIIOub2vi4J1sY9AH2eRSN9gGuKlkHEUjabDksFBgTT8FZf+Hi1Hwvd19&#10;rfbZJM2r47hNl+ff8XB9Vqr7OYimIDzd/Dv8am+0gngYw/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EF1r4A&#10;AADcAAAADwAAAAAAAAABACAAAAAiAAAAZHJzL2Rvd25yZXYueG1sUEsBAhQAFAAAAAgAh07iQDMv&#10;BZ47AAAAOQAAABAAAAAAAAAAAQAgAAAADQEAAGRycy9zaGFwZXhtbC54bWxQSwUGAAAAAAYABgBb&#10;AQAAtwM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8;width:2345;v-text-anchor:middle;" fillcolor="#FFD966 [1943]" filled="t" stroked="f" coordsize="2619,1265" o:gfxdata="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Ml/vQAA&#10;ANwAAAAPAAAAAAAAAAEAIAAAACIAAABkcnMvZG93bnJldi54bWxQSwECFAAUAAAACACHTuJAMy8F&#10;njsAAAA5AAAAEAAAAAAAAAABACAAAAAMAQAAZHJzL3NoYXBleG1sLnhtbFBLBQYAAAAABgAGAFsB&#10;AAC2AwAAAAA=&#10;" path="m668,0l2619,10,2619,1265,0,1265,668,0xe">
                <v:path o:connectlocs="598,0;2345,8;2345,1108;0,1108;598,0" o:connectangles="0,0,0,0,0"/>
                <v:fill on="t" focussize="0,0"/>
                <v:stroke on="f" weight="1pt" miterlimit="8" joinstyle="miter"/>
                <v:imagedata o:title=""/>
                <o:lock v:ext="edit" aspectratio="f"/>
              </v:shape>
            </v:group>
          </w:pict>
        </mc:Fallback>
      </mc:AlternateContent>
    </w:r>
    <w:r>
      <w:rPr>
        <w:sz w:val="18"/>
      </w:rPr>
      <mc:AlternateContent>
        <mc:Choice Requires="wpg">
          <w:drawing>
            <wp:anchor distT="0" distB="0" distL="114300" distR="114300" simplePos="0" relativeHeight="251686912" behindDoc="0" locked="0" layoutInCell="1" allowOverlap="1">
              <wp:simplePos x="0" y="0"/>
              <wp:positionH relativeFrom="page">
                <wp:posOffset>-27305</wp:posOffset>
              </wp:positionH>
              <wp:positionV relativeFrom="page">
                <wp:posOffset>598805</wp:posOffset>
              </wp:positionV>
              <wp:extent cx="2993390" cy="406400"/>
              <wp:effectExtent l="0" t="0" r="0" b="0"/>
              <wp:wrapNone/>
              <wp:docPr id="237" name="组合 237"/>
              <wp:cNvGraphicFramePr/>
              <a:graphic xmlns:a="http://schemas.openxmlformats.org/drawingml/2006/main">
                <a:graphicData uri="http://schemas.microsoft.com/office/word/2010/wordprocessingGroup">
                  <wpg:wgp>
                    <wpg:cNvGrpSpPr/>
                    <wpg:grpSpPr>
                      <a:xfrm>
                        <a:off x="0" y="0"/>
                        <a:ext cx="2993390" cy="406400"/>
                        <a:chOff x="1337" y="880"/>
                        <a:chExt cx="3150" cy="640"/>
                      </a:xfrm>
                    </wpg:grpSpPr>
                    <wps:wsp>
                      <wps:cNvPr id="238"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9"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15pt;margin-top:47.15pt;height:32pt;width:235.7pt;mso-position-horizontal-relative:page;mso-position-vertical-relative:page;z-index:251686912;mso-width-relative:page;mso-height-relative:page;" coordorigin="1337,880" coordsize="3150,640" o:gfxdata="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NFL&#10;iJHZAAAACQEAAA8AAAAAAAAAAQAgAAAAIgAAAGRycy9kb3ducmV2LnhtbFBLAQIUABQAAAAIAIdO&#10;4kDgh/c/PwMAAIcIAAAOAAAAAAAAAAEAIAAAACgBAABkcnMvZTJvRG9jLnhtbFBLBQYAAAAABgAG&#10;AFkBAADZBgAAAAA=&#10;">
              <o:lock v:ext="edit" aspectratio="f"/>
              <v:shape id="文本框 6" o:spid="_x0000_s1026" o:spt="202" type="#_x0000_t202" style="position:absolute;left:1401;top:880;height:641;width:3087;" filled="f" stroked="f" coordsize="21600,21600" o:gfxdata="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9apJ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第一部分  部门概况</w:t>
                      </w:r>
                    </w:p>
                  </w:txbxContent>
                </v:textbox>
              </v:shape>
              <v:rect id="矩形 7" o:spid="_x0000_s1026" o:spt="1" style="position:absolute;left:1337;top:1044;height:330;width:119;v-text-anchor:middle;" fillcolor="#000000 [3213]" filled="t" stroked="f" coordsize="21600,21600" o:gfxdata="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oRh8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rPr>
        <w:sz w:val="18"/>
      </w:rPr>
      <mc:AlternateContent>
        <mc:Choice Requires="wpg">
          <w:drawing>
            <wp:anchor distT="0" distB="0" distL="114300" distR="114300" simplePos="0" relativeHeight="251677696" behindDoc="0" locked="0" layoutInCell="1" allowOverlap="1">
              <wp:simplePos x="0" y="0"/>
              <wp:positionH relativeFrom="page">
                <wp:posOffset>34925</wp:posOffset>
              </wp:positionH>
              <wp:positionV relativeFrom="topMargin">
                <wp:posOffset>596265</wp:posOffset>
              </wp:positionV>
              <wp:extent cx="7579995" cy="416560"/>
              <wp:effectExtent l="0" t="0" r="1905" b="2540"/>
              <wp:wrapNone/>
              <wp:docPr id="138" name="组合 138"/>
              <wp:cNvGraphicFramePr/>
              <a:graphic xmlns:a="http://schemas.openxmlformats.org/drawingml/2006/main">
                <a:graphicData uri="http://schemas.microsoft.com/office/word/2010/wordprocessingGroup">
                  <wpg:wgp>
                    <wpg:cNvGrpSpPr/>
                    <wpg:grpSpPr>
                      <a:xfrm>
                        <a:off x="0" y="0"/>
                        <a:ext cx="7579995" cy="416560"/>
                        <a:chOff x="881" y="505"/>
                        <a:chExt cx="11971" cy="1179"/>
                      </a:xfrm>
                    </wpg:grpSpPr>
                    <wps:wsp>
                      <wps:cNvPr id="139"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0"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1" name="任意多边形 4"/>
                      <wps:cNvSpPr/>
                      <wps:spPr>
                        <a:xfrm>
                          <a:off x="10467" y="505"/>
                          <a:ext cx="2385" cy="1107"/>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75pt;margin-top:46.95pt;height:32.8pt;width:596.85pt;mso-position-horizontal-relative:page;mso-position-vertical-relative:page;z-index:251677696;mso-width-relative:page;mso-height-relative:page;" coordorigin="881,505" coordsize="11971,1179" o:gfxdata="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">
              <o:lock v:ext="edit" aspectratio="f"/>
              <v:rect id="矩形 2" o:spid="_x0000_s1026" o:spt="1" style="position:absolute;left:881;top:1538;height:146;width:11925;v-text-anchor:middle;" fillcolor="#FFD966 [1943]" filled="t" stroked="f" coordsize="21600,21600" o:gfxdata="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OTdW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M/pfRr8AAADc&#10;AAAADwAAAGRycy9kb3ducmV2LnhtbEWPzW7CQAyE75V4h5WRuJUNCBUILAjxo/bUFsgDWFmTBLLe&#10;KLsQ+vb1oVJvtmY883m5frpaPagNlWcDo2ECijj3tuLCQHY+vM5AhYhssfZMBn4owHrVe1lian3H&#10;R3qcYqEkhEOKBsoYm1TrkJfkMAx9QyzaxbcOo6xtoW2LnYS7Wo+T5E07rFgaSmxoW1J+O92dgc3n&#10;1/zwnc+yoj5Pu2x/3U0n71djBv1RsgAV6Rn/zX/XH1bwJ4Ivz8gE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6X0a/&#10;AAAA3AAAAA8AAAAAAAAAAQAgAAAAIgAAAGRycy9kb3ducmV2LnhtbFBLAQIUABQAAAAIAIdO4kAz&#10;LwWeOwAAADkAAAAQAAAAAAAAAAEAIAAAAA4BAABkcnMvc2hhcGV4bWwueG1sUEsFBgAAAAAGAAYA&#10;WwEAALgDA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7;width:2385;v-text-anchor:middle;" fillcolor="#FFD966 [1943]" filled="t" stroked="f" coordsize="2619,1265" o:gfxdata="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e5PvugAAANwA&#10;AAAPAAAAAAAAAAEAIAAAACIAAABkcnMvZG93bnJldi54bWxQSwECFAAUAAAACACHTuJAMy8FnjsA&#10;AAA5AAAAEAAAAAAAAAABACAAAAAJAQAAZHJzL3NoYXBleG1sLnhtbFBLBQYAAAAABgAGAFsBAACz&#10;AwAAAAA=&#10;" path="m668,0l2619,10,2619,1265,0,1265,668,0xe">
                <v:path o:connectlocs="608,0;2385,8;2385,1107;0,1107;608,0" o:connectangles="0,0,0,0,0"/>
                <v:fill on="t" focussize="0,0"/>
                <v:stroke on="f" weight="1pt" miterlimit="8" joinstyle="miter"/>
                <v:imagedata o:title=""/>
                <o:lock v:ext="edit" aspectratio="f"/>
              </v:shape>
            </v:group>
          </w:pict>
        </mc:Fallback>
      </mc:AlternateContent>
    </w:r>
    <w:r>
      <w:rPr>
        <w:sz w:val="18"/>
      </w:rPr>
      <mc:AlternateContent>
        <mc:Choice Requires="wpg">
          <w:drawing>
            <wp:anchor distT="0" distB="0" distL="114300" distR="114300" simplePos="0" relativeHeight="251678720" behindDoc="0" locked="0" layoutInCell="1" allowOverlap="1">
              <wp:simplePos x="0" y="0"/>
              <wp:positionH relativeFrom="page">
                <wp:posOffset>24765</wp:posOffset>
              </wp:positionH>
              <wp:positionV relativeFrom="page">
                <wp:posOffset>598170</wp:posOffset>
              </wp:positionV>
              <wp:extent cx="2993390" cy="406400"/>
              <wp:effectExtent l="0" t="0" r="0" b="0"/>
              <wp:wrapNone/>
              <wp:docPr id="135" name="组合 135"/>
              <wp:cNvGraphicFramePr/>
              <a:graphic xmlns:a="http://schemas.openxmlformats.org/drawingml/2006/main">
                <a:graphicData uri="http://schemas.microsoft.com/office/word/2010/wordprocessingGroup">
                  <wpg:wgp>
                    <wpg:cNvGrpSpPr/>
                    <wpg:grpSpPr>
                      <a:xfrm>
                        <a:off x="0" y="0"/>
                        <a:ext cx="2993390" cy="406400"/>
                        <a:chOff x="1337" y="880"/>
                        <a:chExt cx="3150" cy="640"/>
                      </a:xfrm>
                    </wpg:grpSpPr>
                    <wps:wsp>
                      <wps:cNvPr id="136"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第二部分  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5pt;margin-top:47.1pt;height:32pt;width:235.7pt;mso-position-horizontal-relative:page;mso-position-vertical-relative:page;z-index:251678720;mso-width-relative:page;mso-height-relative:page;" coordorigin="1337,880" coordsize="3150,640" o:gfxdata="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AuHaInZAAAACAEAAA8AAAAAAAAAAQAgAAAAIgAAAGRycy9kb3ducmV2LnhtbFBLAQIU&#10;ABQAAAAIAIdO4kBdQwsVSAMAAIcIAAAOAAAAAAAAAAEAIAAAACgBAABkcnMvZTJvRG9jLnhtbFBL&#10;BQYAAAAABgAGAFkBAADiBgAAAAA=&#10;">
              <o:lock v:ext="edit" aspectratio="f"/>
              <v:shape id="文本框 6" o:spid="_x0000_s1026" o:spt="202" type="#_x0000_t202" style="position:absolute;left:1401;top:880;height:641;width:3087;" filled="f" stroked="f" coordsize="21600,21600" o:gfxdata="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D+ty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第二部分  部门决算情况说明</w:t>
                      </w:r>
                    </w:p>
                  </w:txbxContent>
                </v:textbox>
              </v:shape>
              <v:rect id="矩形 7" o:spid="_x0000_s1026" o:spt="1" style="position:absolute;left:1337;top:1044;height:330;width:119;v-text-anchor:middle;" fillcolor="#000000 [3213]" filled="t" stroked="f" coordsize="21600,21600" o:gfxdata="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dI6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rPr>
        <w:sz w:val="18"/>
      </w:rPr>
      <mc:AlternateContent>
        <mc:Choice Requires="wpg">
          <w:drawing>
            <wp:anchor distT="0" distB="0" distL="114300" distR="114300" simplePos="0" relativeHeight="251681792" behindDoc="0" locked="0" layoutInCell="1" allowOverlap="1">
              <wp:simplePos x="0" y="0"/>
              <wp:positionH relativeFrom="page">
                <wp:posOffset>0</wp:posOffset>
              </wp:positionH>
              <wp:positionV relativeFrom="topMargin">
                <wp:posOffset>550545</wp:posOffset>
              </wp:positionV>
              <wp:extent cx="7553960" cy="480695"/>
              <wp:effectExtent l="0" t="0" r="8890" b="14605"/>
              <wp:wrapNone/>
              <wp:docPr id="183" name="组合 183"/>
              <wp:cNvGraphicFramePr/>
              <a:graphic xmlns:a="http://schemas.openxmlformats.org/drawingml/2006/main">
                <a:graphicData uri="http://schemas.microsoft.com/office/word/2010/wordprocessingGroup">
                  <wpg:wgp>
                    <wpg:cNvGrpSpPr/>
                    <wpg:grpSpPr>
                      <a:xfrm>
                        <a:off x="0" y="0"/>
                        <a:ext cx="7553960" cy="480695"/>
                        <a:chOff x="881" y="505"/>
                        <a:chExt cx="11930" cy="1179"/>
                      </a:xfrm>
                    </wpg:grpSpPr>
                    <wps:wsp>
                      <wps:cNvPr id="184"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5"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6" name="任意多边形 4"/>
                      <wps:cNvSpPr/>
                      <wps:spPr>
                        <a:xfrm>
                          <a:off x="10467" y="505"/>
                          <a:ext cx="2345" cy="1108"/>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pt;margin-top:0pt;height:37.85pt;width:594.8pt;mso-position-horizontal-relative:page;mso-position-vertical-relative:page;z-index:251681792;mso-width-relative:page;mso-height-relative:page;" coordorigin="881,505" coordsize="11930,1179" o:gfxdata="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">
              <o:lock v:ext="edit" aspectratio="f"/>
              <v:rect id="矩形 2" o:spid="_x0000_s1026" o:spt="1" style="position:absolute;left:881;top:1538;height:146;width:11925;v-text-anchor:middle;" fillcolor="#FFD966 [1943]" filled="t" stroked="f" coordsize="21600,21600" o:gfxdata="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8Cus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2DRGRL0AAADc&#10;AAAADwAAAGRycy9kb3ducmV2LnhtbEVPS27CMBDdV+IO1lRi1zggWkKIQQiK2hW0kAOM4mk+xOMo&#10;dgm9fV2pErt5et/J1jfTiiv1rrasYBLFIIgLq2suFeTn/VMCwnlkja1lUvBDDtar0UOGqbYDf9L1&#10;5EsRQtilqKDyvkuldEVFBl1kO+LAfdneoA+wL6XucQjhppXTOH6RBmsODRV2tK2ouJy+jYLN4bjY&#10;fxRJXrbn+ZC/Nrv57K1Ravw4iZcgPN38XfzvftdhfvIMf8+EC+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NEZEvQAA&#10;ANwAAAAPAAAAAAAAAAEAIAAAACIAAABkcnMvZG93bnJldi54bWxQSwECFAAUAAAACACHTuJAMy8F&#10;njsAAAA5AAAAEAAAAAAAAAABACAAAAAMAQAAZHJzL3NoYXBleG1sLnhtbFBLBQYAAAAABgAGAFsB&#10;AAC2Aw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8;width:2345;v-text-anchor:middle;" fillcolor="#FFD966 [1943]" filled="t" stroked="f" coordsize="2619,1265" o:gfxdata="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uxAbsAAADc&#10;AAAADwAAAAAAAAABACAAAAAiAAAAZHJzL2Rvd25yZXYueG1sUEsBAhQAFAAAAAgAh07iQDMvBZ47&#10;AAAAOQAAABAAAAAAAAAAAQAgAAAACgEAAGRycy9zaGFwZXhtbC54bWxQSwUGAAAAAAYABgBbAQAA&#10;tAMAAAAA&#10;" path="m668,0l2619,10,2619,1265,0,1265,668,0xe">
                <v:path o:connectlocs="598,0;2345,8;2345,1108;0,1108;598,0" o:connectangles="0,0,0,0,0"/>
                <v:fill on="t" focussize="0,0"/>
                <v:stroke on="f" weight="1pt" miterlimit="8" joinstyle="miter"/>
                <v:imagedata o:title=""/>
                <o:lock v:ext="edit" aspectratio="f"/>
              </v:shape>
            </v:group>
          </w:pict>
        </mc:Fallback>
      </mc:AlternateContent>
    </w:r>
    <w:r>
      <w:rPr>
        <w:sz w:val="18"/>
      </w:rPr>
      <mc:AlternateContent>
        <mc:Choice Requires="wpg">
          <w:drawing>
            <wp:anchor distT="0" distB="0" distL="114300" distR="114300" simplePos="0" relativeHeight="251682816" behindDoc="0" locked="0" layoutInCell="1" allowOverlap="1">
              <wp:simplePos x="0" y="0"/>
              <wp:positionH relativeFrom="page">
                <wp:posOffset>-27305</wp:posOffset>
              </wp:positionH>
              <wp:positionV relativeFrom="page">
                <wp:posOffset>598805</wp:posOffset>
              </wp:positionV>
              <wp:extent cx="2993390" cy="406400"/>
              <wp:effectExtent l="0" t="0" r="0" b="0"/>
              <wp:wrapNone/>
              <wp:docPr id="180" name="组合 180"/>
              <wp:cNvGraphicFramePr/>
              <a:graphic xmlns:a="http://schemas.openxmlformats.org/drawingml/2006/main">
                <a:graphicData uri="http://schemas.microsoft.com/office/word/2010/wordprocessingGroup">
                  <wpg:wgp>
                    <wpg:cNvGrpSpPr/>
                    <wpg:grpSpPr>
                      <a:xfrm>
                        <a:off x="0" y="0"/>
                        <a:ext cx="2993390" cy="406400"/>
                        <a:chOff x="1337" y="880"/>
                        <a:chExt cx="3150" cy="640"/>
                      </a:xfrm>
                    </wpg:grpSpPr>
                    <wps:wsp>
                      <wps:cNvPr id="181"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第三部分  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2"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15pt;margin-top:47.15pt;height:32pt;width:235.7pt;mso-position-horizontal-relative:page;mso-position-vertical-relative:page;z-index:251682816;mso-width-relative:page;mso-height-relative:page;" coordorigin="1337,880" coordsize="3150,640" o:gfxdata="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NFLiJHZAAAACQEAAA8AAAAAAAAAAQAgAAAAIgAAAGRycy9kb3ducmV2LnhtbFBLAQIU&#10;ABQAAAAIAIdO4kAtA+7hSAMAAIcIAAAOAAAAAAAAAAEAIAAAACgBAABkcnMvZTJvRG9jLnhtbFBL&#10;BQYAAAAABgAGAFkBAADiBgAAAAA=&#10;">
              <o:lock v:ext="edit" aspectratio="f"/>
              <v:shape id="文本框 6" o:spid="_x0000_s1026" o:spt="202" type="#_x0000_t202" style="position:absolute;left:1401;top:880;height:641;width:3087;" filled="f" stroked="f" coordsize="21600,21600" o:gfxdata="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q0+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第三部分  名词解释</w:t>
                      </w:r>
                    </w:p>
                  </w:txbxContent>
                </v:textbox>
              </v:shape>
              <v:rect id="矩形 7" o:spid="_x0000_s1026" o:spt="1" style="position:absolute;left:1337;top:1044;height:330;width:119;v-text-anchor:middle;" fillcolor="#000000 [3213]" filled="t" stroked="f" coordsize="21600,21600" o:gfxdata="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nyKW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rPr>
        <w:sz w:val="18"/>
      </w:rPr>
      <mc:AlternateContent>
        <mc:Choice Requires="wpg">
          <w:drawing>
            <wp:anchor distT="0" distB="0" distL="114300" distR="114300" simplePos="0" relativeHeight="251684864" behindDoc="0" locked="0" layoutInCell="1" allowOverlap="1">
              <wp:simplePos x="0" y="0"/>
              <wp:positionH relativeFrom="page">
                <wp:align>left</wp:align>
              </wp:positionH>
              <wp:positionV relativeFrom="page">
                <wp:posOffset>377825</wp:posOffset>
              </wp:positionV>
              <wp:extent cx="2000250" cy="406400"/>
              <wp:effectExtent l="0" t="0" r="0" b="0"/>
              <wp:wrapNone/>
              <wp:docPr id="189" name="组合 189"/>
              <wp:cNvGraphicFramePr/>
              <a:graphic xmlns:a="http://schemas.openxmlformats.org/drawingml/2006/main">
                <a:graphicData uri="http://schemas.microsoft.com/office/word/2010/wordprocessingGroup">
                  <wpg:wgp>
                    <wpg:cNvGrpSpPr/>
                    <wpg:grpSpPr>
                      <a:xfrm>
                        <a:off x="0" y="0"/>
                        <a:ext cx="2000250" cy="406400"/>
                        <a:chOff x="1337" y="880"/>
                        <a:chExt cx="3150" cy="640"/>
                      </a:xfrm>
                    </wpg:grpSpPr>
                    <wps:wsp>
                      <wps:cNvPr id="190"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sz w:val="28"/>
                                <w:szCs w:val="36"/>
                                <w:lang w:val="en-US" w:eastAsia="zh-CN"/>
                              </w:rPr>
                            </w:pPr>
                            <w:r>
                              <w:rPr>
                                <w:rFonts w:hint="eastAsia" w:ascii="微软雅黑" w:hAnsi="微软雅黑" w:eastAsia="微软雅黑" w:cs="微软雅黑"/>
                                <w:b/>
                                <w:bCs/>
                                <w:sz w:val="28"/>
                                <w:szCs w:val="36"/>
                                <w:lang w:val="en-US" w:eastAsia="zh-CN"/>
                              </w:rPr>
                              <w:t>20XX 企业业务制定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1"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top:29.75pt;height:32pt;width:157.5pt;mso-position-horizontal:left;mso-position-horizontal-relative:page;mso-position-vertical-relative:page;z-index:251684864;mso-width-relative:page;mso-height-relative:page;" coordorigin="1337,880" coordsize="3150,640" o:gfxdata="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sxve51wAAAAcBAAAPAAAAAAAAAAEAIAAAACIAAABkcnMvZG93bnJldi54bWxQSwECFAAU&#10;AAAACACHTuJApJ6XBEgDAACHCAAADgAAAAAAAAABACAAAAAmAQAAZHJzL2Uyb0RvYy54bWxQSwUG&#10;AAAAAAYABgBZAQAA4AYAAAAA&#10;">
              <o:lock v:ext="edit" aspectratio="f"/>
              <v:shape id="文本框 6" o:spid="_x0000_s1026" o:spt="202" type="#_x0000_t202" style="position:absolute;left:1401;top:880;height:641;width:3087;" filled="f" stroked="f" coordsize="21600,21600" o:gfxdata="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AmA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微软雅黑" w:hAnsi="微软雅黑" w:eastAsia="微软雅黑" w:cs="微软雅黑"/>
                          <w:b/>
                          <w:bCs/>
                          <w:sz w:val="28"/>
                          <w:szCs w:val="36"/>
                          <w:lang w:val="en-US" w:eastAsia="zh-CN"/>
                        </w:rPr>
                      </w:pPr>
                      <w:r>
                        <w:rPr>
                          <w:rFonts w:hint="eastAsia" w:ascii="微软雅黑" w:hAnsi="微软雅黑" w:eastAsia="微软雅黑" w:cs="微软雅黑"/>
                          <w:b/>
                          <w:bCs/>
                          <w:sz w:val="28"/>
                          <w:szCs w:val="36"/>
                          <w:lang w:val="en-US" w:eastAsia="zh-CN"/>
                        </w:rPr>
                        <w:t>20XX 企业业务制定</w:t>
                      </w:r>
                    </w:p>
                  </w:txbxContent>
                </v:textbox>
              </v:shape>
              <v:rect id="矩形 7" o:spid="_x0000_s1026" o:spt="1" style="position:absolute;left:1337;top:1044;height:330;width:119;v-text-anchor:middle;" fillcolor="#000000 [3213]" filled="t" stroked="f" coordsize="21600,21600" o:gfxdata="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lCo8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r>
      <w:rPr>
        <w:sz w:val="18"/>
      </w:rPr>
      <mc:AlternateContent>
        <mc:Choice Requires="wpg">
          <w:drawing>
            <wp:anchor distT="0" distB="0" distL="114300" distR="114300" simplePos="0" relativeHeight="251683840" behindDoc="0" locked="0" layoutInCell="1" allowOverlap="1">
              <wp:simplePos x="0" y="0"/>
              <wp:positionH relativeFrom="page">
                <wp:align>center</wp:align>
              </wp:positionH>
              <wp:positionV relativeFrom="topMargin">
                <wp:align>bottom</wp:align>
              </wp:positionV>
              <wp:extent cx="7575550" cy="748665"/>
              <wp:effectExtent l="0" t="0" r="6350" b="13335"/>
              <wp:wrapNone/>
              <wp:docPr id="192" name="组合 192"/>
              <wp:cNvGraphicFramePr/>
              <a:graphic xmlns:a="http://schemas.openxmlformats.org/drawingml/2006/main">
                <a:graphicData uri="http://schemas.microsoft.com/office/word/2010/wordprocessingGroup">
                  <wpg:wgp>
                    <wpg:cNvGrpSpPr/>
                    <wpg:grpSpPr>
                      <a:xfrm>
                        <a:off x="0" y="0"/>
                        <a:ext cx="7575550" cy="748665"/>
                        <a:chOff x="881" y="505"/>
                        <a:chExt cx="11930" cy="1179"/>
                      </a:xfrm>
                    </wpg:grpSpPr>
                    <wps:wsp>
                      <wps:cNvPr id="193"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4"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5" name="任意多边形 4"/>
                      <wps:cNvSpPr/>
                      <wps:spPr>
                        <a:xfrm>
                          <a:off x="10467" y="505"/>
                          <a:ext cx="2345" cy="1108"/>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100000</wp14:pctWidth>
              </wp14:sizeRelH>
              <wp14:sizeRelV relativeFrom="page">
                <wp14:pctHeight>0</wp14:pctHeight>
              </wp14:sizeRelV>
            </wp:anchor>
          </w:drawing>
        </mc:Choice>
        <mc:Fallback>
          <w:pict>
            <v:group id="_x0000_s1026" o:spid="_x0000_s1026" o:spt="203" style="position:absolute;left:0pt;margin-left:0pt;margin-top:0pt;height:58.95pt;width:596.5pt;mso-position-horizontal-relative:page;mso-position-vertical-relative:page;z-index:251683840;mso-width-relative:page;mso-height-relative:page;mso-width-percent:1000;" coordorigin="881,505" coordsize="11930,1179"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">
              <o:lock v:ext="edit" aspectratio="f"/>
              <v:rect id="矩形 2" o:spid="_x0000_s1026" o:spt="1" style="position:absolute;left:881;top:1538;height:146;width:11925;v-text-anchor:middle;" fillcolor="#FFD966 [1943]" filled="t" stroked="f" coordsize="21600,21600" o:gfxdata="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AJQW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MqF1ArsAAADc&#10;AAAADwAAAGRycy9kb3ducmV2LnhtbEVP24rCMBB9F/yHMIJvmiqyatco4gV9Ulf7AUMz29ZtJqWJ&#10;1v17Iwi+zeFcZ7Z4mFLcqXaFZQWDfgSCOLW64ExBctn2JiCcR9ZYWiYF/+RgMW+3Zhhr2/AP3c8+&#10;EyGEXYwKcu+rWEqX5mTQ9W1FHLhfWxv0AdaZ1DU2IdyUchhFX9JgwaEhx4pWOaV/55tRsDwcp9tT&#10;Okmy8jJuks11PR7trkp1O4PoG4Snh/+I3+69DvOnI3g9E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F1ArsAAADc&#10;AAAADwAAAAAAAAABACAAAAAiAAAAZHJzL2Rvd25yZXYueG1sUEsBAhQAFAAAAAgAh07iQDMvBZ47&#10;AAAAOQAAABAAAAAAAAAAAQAgAAAACgEAAGRycy9zaGFwZXhtbC54bWxQSwUGAAAAAAYABgBbAQAA&#10;tAM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8;width:2345;v-text-anchor:middle;" fillcolor="#FFD966 [1943]" filled="t" stroked="f" coordsize="2619,1265" o:gfxdata="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C5q7sAAADc&#10;AAAADwAAAAAAAAABACAAAAAiAAAAZHJzL2Rvd25yZXYueG1sUEsBAhQAFAAAAAgAh07iQDMvBZ47&#10;AAAAOQAAABAAAAAAAAAAAQAgAAAACgEAAGRycy9zaGFwZXhtbC54bWxQSwUGAAAAAAYABgBbAQAA&#10;tAMAAAAA&#10;" path="m668,0l2619,10,2619,1265,0,1265,668,0xe">
                <v:path o:connectlocs="598,0;2345,8;2345,1108;0,1108;598,0" o:connectangles="0,0,0,0,0"/>
                <v:fill on="t" focussize="0,0"/>
                <v:stroke on="f" weight="1pt" miterlimit="8" joinstyle="miter"/>
                <v:imagedata o:title=""/>
                <o:lock v:ext="edit" aspectratio="f"/>
              </v:shap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7005DE2D"/>
    <w:multiLevelType w:val="singleLevel"/>
    <w:tmpl w:val="7005DE2D"/>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AAF1C96"/>
    <w:rsid w:val="0007063E"/>
    <w:rsid w:val="00073392"/>
    <w:rsid w:val="00073F4E"/>
    <w:rsid w:val="00086C89"/>
    <w:rsid w:val="000A39FB"/>
    <w:rsid w:val="00117746"/>
    <w:rsid w:val="00163F95"/>
    <w:rsid w:val="00180A9A"/>
    <w:rsid w:val="001829C0"/>
    <w:rsid w:val="00184809"/>
    <w:rsid w:val="00192112"/>
    <w:rsid w:val="001B0127"/>
    <w:rsid w:val="001C12D5"/>
    <w:rsid w:val="001C69F7"/>
    <w:rsid w:val="002650EC"/>
    <w:rsid w:val="002A6C46"/>
    <w:rsid w:val="002C19B5"/>
    <w:rsid w:val="003A4EE8"/>
    <w:rsid w:val="00442CC2"/>
    <w:rsid w:val="00446244"/>
    <w:rsid w:val="00473C20"/>
    <w:rsid w:val="004D61CB"/>
    <w:rsid w:val="005011D6"/>
    <w:rsid w:val="00503F2E"/>
    <w:rsid w:val="00552226"/>
    <w:rsid w:val="00566120"/>
    <w:rsid w:val="00582E6D"/>
    <w:rsid w:val="005954D5"/>
    <w:rsid w:val="005A53FA"/>
    <w:rsid w:val="005D1293"/>
    <w:rsid w:val="00644D5F"/>
    <w:rsid w:val="006727AD"/>
    <w:rsid w:val="00691425"/>
    <w:rsid w:val="006A516E"/>
    <w:rsid w:val="006B0830"/>
    <w:rsid w:val="00716E2B"/>
    <w:rsid w:val="00770F18"/>
    <w:rsid w:val="00773B74"/>
    <w:rsid w:val="0078290C"/>
    <w:rsid w:val="007C06CA"/>
    <w:rsid w:val="008163FB"/>
    <w:rsid w:val="0082605B"/>
    <w:rsid w:val="00855C36"/>
    <w:rsid w:val="00857DBE"/>
    <w:rsid w:val="008701BC"/>
    <w:rsid w:val="00883D92"/>
    <w:rsid w:val="008A5362"/>
    <w:rsid w:val="008F21F1"/>
    <w:rsid w:val="008F221B"/>
    <w:rsid w:val="008F5A2D"/>
    <w:rsid w:val="00921602"/>
    <w:rsid w:val="00957EA1"/>
    <w:rsid w:val="00966E5B"/>
    <w:rsid w:val="009B4EF0"/>
    <w:rsid w:val="009D271F"/>
    <w:rsid w:val="00A929C2"/>
    <w:rsid w:val="00AD097F"/>
    <w:rsid w:val="00B844F4"/>
    <w:rsid w:val="00BA06A1"/>
    <w:rsid w:val="00BA770A"/>
    <w:rsid w:val="00C054DE"/>
    <w:rsid w:val="00C679A9"/>
    <w:rsid w:val="00C7541C"/>
    <w:rsid w:val="00CC0FAA"/>
    <w:rsid w:val="00CD0736"/>
    <w:rsid w:val="00D1570F"/>
    <w:rsid w:val="00D32830"/>
    <w:rsid w:val="00DB7153"/>
    <w:rsid w:val="00DB7F05"/>
    <w:rsid w:val="00E028C3"/>
    <w:rsid w:val="00E14F77"/>
    <w:rsid w:val="00E3076B"/>
    <w:rsid w:val="00E36978"/>
    <w:rsid w:val="00E82A1E"/>
    <w:rsid w:val="00EC06F4"/>
    <w:rsid w:val="00EE4E36"/>
    <w:rsid w:val="00F665F4"/>
    <w:rsid w:val="00FD225F"/>
    <w:rsid w:val="0519521A"/>
    <w:rsid w:val="059D73CC"/>
    <w:rsid w:val="08C76D0D"/>
    <w:rsid w:val="0C2406AE"/>
    <w:rsid w:val="0E025E98"/>
    <w:rsid w:val="0F090B9A"/>
    <w:rsid w:val="0FD0775C"/>
    <w:rsid w:val="103D2611"/>
    <w:rsid w:val="10604D3A"/>
    <w:rsid w:val="11507096"/>
    <w:rsid w:val="15D86670"/>
    <w:rsid w:val="16107F89"/>
    <w:rsid w:val="17562B56"/>
    <w:rsid w:val="1A617674"/>
    <w:rsid w:val="1AFE4A77"/>
    <w:rsid w:val="1D3363A8"/>
    <w:rsid w:val="1E431275"/>
    <w:rsid w:val="1E9B4737"/>
    <w:rsid w:val="1FB24595"/>
    <w:rsid w:val="204B1D45"/>
    <w:rsid w:val="25D75A70"/>
    <w:rsid w:val="29DE3F77"/>
    <w:rsid w:val="2E4175CB"/>
    <w:rsid w:val="2FE17F32"/>
    <w:rsid w:val="302F1100"/>
    <w:rsid w:val="31C2036A"/>
    <w:rsid w:val="320D02A5"/>
    <w:rsid w:val="348E566F"/>
    <w:rsid w:val="35EC68CD"/>
    <w:rsid w:val="364245ED"/>
    <w:rsid w:val="36BC64CA"/>
    <w:rsid w:val="39FC6F50"/>
    <w:rsid w:val="3A226944"/>
    <w:rsid w:val="3AEE6A48"/>
    <w:rsid w:val="3B5E3A70"/>
    <w:rsid w:val="3C1620AA"/>
    <w:rsid w:val="3D8F080F"/>
    <w:rsid w:val="3F40314A"/>
    <w:rsid w:val="3F9032F6"/>
    <w:rsid w:val="418F32DE"/>
    <w:rsid w:val="433A6636"/>
    <w:rsid w:val="44CE1FA4"/>
    <w:rsid w:val="487F73ED"/>
    <w:rsid w:val="48F62ED9"/>
    <w:rsid w:val="496B3034"/>
    <w:rsid w:val="49ED51B1"/>
    <w:rsid w:val="4A347EAE"/>
    <w:rsid w:val="4ABC63B8"/>
    <w:rsid w:val="4E18410C"/>
    <w:rsid w:val="4E2172DA"/>
    <w:rsid w:val="4F18142F"/>
    <w:rsid w:val="510329D1"/>
    <w:rsid w:val="52600405"/>
    <w:rsid w:val="52895996"/>
    <w:rsid w:val="529B4319"/>
    <w:rsid w:val="56E56E80"/>
    <w:rsid w:val="572D2244"/>
    <w:rsid w:val="57773DD6"/>
    <w:rsid w:val="578311C9"/>
    <w:rsid w:val="578B79AB"/>
    <w:rsid w:val="5ADB3F8B"/>
    <w:rsid w:val="5C4E1725"/>
    <w:rsid w:val="5CCD3FD5"/>
    <w:rsid w:val="5CE817E4"/>
    <w:rsid w:val="608B1CB9"/>
    <w:rsid w:val="60AF5B0A"/>
    <w:rsid w:val="611F43AF"/>
    <w:rsid w:val="61FA5F9D"/>
    <w:rsid w:val="64A37BD8"/>
    <w:rsid w:val="64CD6910"/>
    <w:rsid w:val="656B1242"/>
    <w:rsid w:val="66F04F81"/>
    <w:rsid w:val="672D68D1"/>
    <w:rsid w:val="6789158D"/>
    <w:rsid w:val="67D81BA4"/>
    <w:rsid w:val="68385681"/>
    <w:rsid w:val="6AAF1C96"/>
    <w:rsid w:val="6CFF64B5"/>
    <w:rsid w:val="70593F4E"/>
    <w:rsid w:val="706D1421"/>
    <w:rsid w:val="712F417B"/>
    <w:rsid w:val="75681757"/>
    <w:rsid w:val="75A346A8"/>
    <w:rsid w:val="767E433A"/>
    <w:rsid w:val="76F32F08"/>
    <w:rsid w:val="79B9382C"/>
    <w:rsid w:val="7B043B76"/>
    <w:rsid w:val="7BCD0AE6"/>
    <w:rsid w:val="7C041A6A"/>
    <w:rsid w:val="7D4C773F"/>
    <w:rsid w:val="7E0906C6"/>
    <w:rsid w:val="7E327570"/>
    <w:rsid w:val="7EB578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8">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3">
    <w:name w:val="Body Text"/>
    <w:basedOn w:val="1"/>
    <w:unhideWhenUsed/>
    <w:qFormat/>
    <w:uiPriority w:val="99"/>
    <w:rPr>
      <w:rFonts w:ascii="仿宋_GB2312" w:hAnsi="仿宋_GB2312" w:eastAsia="仿宋_GB2312" w:cs="仿宋_GB2312"/>
      <w:sz w:val="32"/>
      <w:szCs w:val="32"/>
      <w:lang w:val="zh-CN" w:eastAsia="zh-CN" w:bidi="zh-CN"/>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asciiTheme="minorAscii" w:hAnsiTheme="minorAscii" w:eastAsiaTheme="minorEastAsia"/>
      <w:sz w:val="18"/>
      <w:szCs w:val="18"/>
    </w:rPr>
  </w:style>
  <w:style w:type="table" w:styleId="7">
    <w:name w:val="Table Grid"/>
    <w:qFormat/>
    <w:uiPriority w:val="1"/>
    <w:pPr>
      <w:spacing w:after="0" w:line="240" w:lineRule="auto"/>
    </w:pPr>
    <w:rPr>
      <w:kern w:val="0"/>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9">
    <w:name w:val="页眉 字符"/>
    <w:basedOn w:val="8"/>
    <w:link w:val="5"/>
    <w:qFormat/>
    <w:uiPriority w:val="99"/>
    <w:rPr>
      <w:rFonts w:asciiTheme="minorAscii" w:hAnsiTheme="minorAscii" w:eastAsiaTheme="minorEastAsia"/>
      <w:sz w:val="18"/>
      <w:szCs w:val="18"/>
    </w:rPr>
  </w:style>
  <w:style w:type="character" w:customStyle="1" w:styleId="10">
    <w:name w:val="页脚 字符"/>
    <w:basedOn w:val="8"/>
    <w:link w:val="4"/>
    <w:qFormat/>
    <w:uiPriority w:val="99"/>
    <w:rPr>
      <w:sz w:val="18"/>
      <w:szCs w:val="18"/>
    </w:rPr>
  </w:style>
  <w:style w:type="paragraph" w:customStyle="1" w:styleId="11">
    <w:name w:val="List Paragraph"/>
    <w:basedOn w:val="1"/>
    <w:qFormat/>
    <w:uiPriority w:val="1"/>
    <w:pPr>
      <w:spacing w:before="2"/>
      <w:ind w:left="119" w:right="434" w:firstLine="643"/>
      <w:jc w:val="both"/>
    </w:pPr>
    <w:rPr>
      <w:rFonts w:ascii="仿宋_GB2312" w:hAnsi="仿宋_GB2312" w:eastAsia="仿宋_GB2312" w:cs="仿宋_GB231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16.jpeg"/><Relationship Id="rId41" Type="http://schemas.openxmlformats.org/officeDocument/2006/relationships/image" Target="media/image15.jpeg"/><Relationship Id="rId40" Type="http://schemas.openxmlformats.org/officeDocument/2006/relationships/image" Target="media/image14.jpeg"/><Relationship Id="rId4" Type="http://schemas.openxmlformats.org/officeDocument/2006/relationships/header" Target="header2.xml"/><Relationship Id="rId39" Type="http://schemas.openxmlformats.org/officeDocument/2006/relationships/image" Target="media/image13.jpeg"/><Relationship Id="rId38" Type="http://schemas.openxmlformats.org/officeDocument/2006/relationships/image" Target="media/image12.jpeg"/><Relationship Id="rId37" Type="http://schemas.openxmlformats.org/officeDocument/2006/relationships/image" Target="media/image11.jpeg"/><Relationship Id="rId36" Type="http://schemas.openxmlformats.org/officeDocument/2006/relationships/image" Target="media/image10.jpeg"/><Relationship Id="rId35" Type="http://schemas.openxmlformats.org/officeDocument/2006/relationships/image" Target="media/image9.jpeg"/><Relationship Id="rId34" Type="http://schemas.openxmlformats.org/officeDocument/2006/relationships/image" Target="media/image8.jpeg"/><Relationship Id="rId33" Type="http://schemas.openxmlformats.org/officeDocument/2006/relationships/image" Target="media/image7.jpeg"/><Relationship Id="rId32" Type="http://schemas.openxmlformats.org/officeDocument/2006/relationships/image" Target="media/image6.emf"/><Relationship Id="rId31" Type="http://schemas.openxmlformats.org/officeDocument/2006/relationships/oleObject" Target="embeddings/oleObject5.bin"/><Relationship Id="rId30" Type="http://schemas.openxmlformats.org/officeDocument/2006/relationships/image" Target="media/image5.emf"/><Relationship Id="rId3" Type="http://schemas.openxmlformats.org/officeDocument/2006/relationships/header" Target="header1.xml"/><Relationship Id="rId29" Type="http://schemas.openxmlformats.org/officeDocument/2006/relationships/oleObject" Target="embeddings/oleObject4.bin"/><Relationship Id="rId28" Type="http://schemas.openxmlformats.org/officeDocument/2006/relationships/image" Target="media/image4.emf"/><Relationship Id="rId27" Type="http://schemas.openxmlformats.org/officeDocument/2006/relationships/oleObject" Target="embeddings/oleObject3.bin"/><Relationship Id="rId26" Type="http://schemas.openxmlformats.org/officeDocument/2006/relationships/image" Target="media/image3.emf"/><Relationship Id="rId25" Type="http://schemas.openxmlformats.org/officeDocument/2006/relationships/oleObject" Target="embeddings/oleObject2.bin"/><Relationship Id="rId24" Type="http://schemas.openxmlformats.org/officeDocument/2006/relationships/image" Target="media/image2.emf"/><Relationship Id="rId23" Type="http://schemas.openxmlformats.org/officeDocument/2006/relationships/oleObject" Target="embeddings/oleObject1.bin"/><Relationship Id="rId22" Type="http://schemas.openxmlformats.org/officeDocument/2006/relationships/image" Target="media/image1.bmp"/><Relationship Id="rId21" Type="http://schemas.openxmlformats.org/officeDocument/2006/relationships/theme" Target="theme/theme1.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11.xml"/><Relationship Id="rId18" Type="http://schemas.openxmlformats.org/officeDocument/2006/relationships/header" Target="header10.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mingxin\AppData\Roaming\kingsoft\office6\templates\download\5185bd05-a416-9a0b-b3d5-d2d8db942b83\&#31616;&#32422;&#25991;&#26723;&#23553;&#38754;&#27169;&#26495;.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Info spid="_x0000_s1032" textRotate="1"/>
    <customShpInfo spid="_x0000_s1027"/>
    <customShpInfo spid="_x0000_s1028"/>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1F299C-5D08-4D94-9343-26C73D8AA868}">
  <ds:schemaRefs/>
</ds:datastoreItem>
</file>

<file path=docProps/app.xml><?xml version="1.0" encoding="utf-8"?>
<Properties xmlns="http://schemas.openxmlformats.org/officeDocument/2006/extended-properties" xmlns:vt="http://schemas.openxmlformats.org/officeDocument/2006/docPropsVTypes">
  <Template>简约文档封面模板.docx</Template>
  <Pages>32</Pages>
  <Words>8183</Words>
  <Characters>9115</Characters>
  <Lines>1</Lines>
  <Paragraphs>1</Paragraphs>
  <TotalTime>2</TotalTime>
  <ScaleCrop>false</ScaleCrop>
  <LinksUpToDate>false</LinksUpToDate>
  <CharactersWithSpaces>9394</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2020-07-29T09:42:00Z</dcterms:created>
  <dc:creator>王明新TIAD</dc:creator>
  <cp:lastModifiedBy>1</cp:lastModifiedBy>
  <cp:lastPrinted>2020-08-18T00:53:00Z</cp:lastPrinted>
  <dcterms:modified xsi:type="dcterms:W3CDTF">2021-05-14T07:00:16Z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B7100E75A9B54D02ACB1AEC771F6442D</vt:lpwstr>
  </property>
</Properties>
</file>